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BD98EA4" w14:textId="582BAF27" w:rsidR="00073A36" w:rsidRPr="00DF57BD" w:rsidRDefault="00C823EF" w:rsidP="009862D6">
      <w:pPr>
        <w:spacing w:after="120"/>
        <w:jc w:val="center"/>
        <w:rPr>
          <w:rFonts w:hint="eastAsia"/>
          <w:b/>
          <w:bCs/>
          <w:sz w:val="28"/>
          <w:szCs w:val="28"/>
        </w:rPr>
      </w:pPr>
      <w:r w:rsidRPr="00DF57BD">
        <w:rPr>
          <w:rFonts w:ascii="Times New Roman" w:hAnsi="Times New Roman" w:cs="Times New Roman"/>
          <w:b/>
          <w:bCs/>
          <w:sz w:val="28"/>
          <w:szCs w:val="28"/>
        </w:rPr>
        <w:t>A</w:t>
      </w:r>
      <w:r w:rsidR="00C311D2" w:rsidRPr="00DF57BD">
        <w:rPr>
          <w:rFonts w:ascii="Times New Roman" w:hAnsi="Times New Roman" w:cs="Times New Roman"/>
          <w:b/>
          <w:bCs/>
          <w:sz w:val="28"/>
          <w:szCs w:val="28"/>
        </w:rPr>
        <w:t xml:space="preserve"> NEUTRALIDADE DA LEI Nº 12.973/2014 </w:t>
      </w:r>
      <w:r w:rsidR="00907D09" w:rsidRPr="00DF57BD">
        <w:rPr>
          <w:rFonts w:ascii="Times New Roman" w:hAnsi="Times New Roman" w:cs="Times New Roman"/>
          <w:b/>
          <w:bCs/>
          <w:sz w:val="28"/>
          <w:szCs w:val="28"/>
        </w:rPr>
        <w:t>NA TRIBUTAÇÃO DO LUCRO</w:t>
      </w:r>
      <w:r w:rsidR="00C311D2" w:rsidRPr="00DF57BD">
        <w:rPr>
          <w:rFonts w:ascii="Times New Roman" w:hAnsi="Times New Roman" w:cs="Times New Roman"/>
          <w:b/>
          <w:bCs/>
          <w:sz w:val="28"/>
          <w:szCs w:val="28"/>
        </w:rPr>
        <w:t xml:space="preserve">: UMA ANÁLISE </w:t>
      </w:r>
      <w:r w:rsidR="00990F1C">
        <w:rPr>
          <w:rFonts w:ascii="Times New Roman" w:hAnsi="Times New Roman" w:cs="Times New Roman"/>
          <w:b/>
          <w:bCs/>
          <w:sz w:val="28"/>
          <w:szCs w:val="28"/>
        </w:rPr>
        <w:t xml:space="preserve">DA ALÍQUOTA TRIBUTÁRIA EFETIVA (ETR) </w:t>
      </w:r>
      <w:r w:rsidR="00250814" w:rsidRPr="00DF57BD">
        <w:rPr>
          <w:rFonts w:ascii="Times New Roman" w:hAnsi="Times New Roman" w:cs="Times New Roman"/>
          <w:b/>
          <w:bCs/>
          <w:sz w:val="28"/>
          <w:szCs w:val="28"/>
        </w:rPr>
        <w:t>EM COMPANHIAS BRASILEIRA</w:t>
      </w:r>
      <w:r w:rsidR="00EC55F6" w:rsidRPr="00DF57BD">
        <w:rPr>
          <w:rFonts w:ascii="Times New Roman" w:hAnsi="Times New Roman" w:cs="Times New Roman"/>
          <w:b/>
          <w:bCs/>
          <w:sz w:val="28"/>
          <w:szCs w:val="28"/>
        </w:rPr>
        <w:t>S</w:t>
      </w:r>
    </w:p>
    <w:p w14:paraId="5441F6D4" w14:textId="77777777" w:rsidR="00B37691" w:rsidRPr="00DF57BD" w:rsidRDefault="00B37691" w:rsidP="009862D6">
      <w:pPr>
        <w:spacing w:after="120"/>
        <w:jc w:val="center"/>
        <w:rPr>
          <w:rFonts w:hint="eastAsia"/>
          <w:b/>
          <w:bCs/>
          <w:sz w:val="28"/>
          <w:szCs w:val="28"/>
        </w:rPr>
      </w:pPr>
    </w:p>
    <w:p w14:paraId="01A70746" w14:textId="3B61633C" w:rsidR="002932B3" w:rsidRDefault="005D4C7D" w:rsidP="009862D6">
      <w:pPr>
        <w:spacing w:after="120"/>
        <w:jc w:val="center"/>
        <w:rPr>
          <w:rFonts w:ascii="Times New Roman" w:hAnsi="Times New Roman" w:cs="Times New Roman"/>
          <w:b/>
          <w:bCs/>
          <w:color w:val="222222"/>
          <w:sz w:val="28"/>
          <w:szCs w:val="28"/>
          <w:lang w:val="en-US"/>
        </w:rPr>
      </w:pPr>
      <w:r w:rsidRPr="00DF57BD">
        <w:rPr>
          <w:rFonts w:ascii="Times New Roman" w:hAnsi="Times New Roman" w:cs="Times New Roman" w:hint="eastAsia"/>
          <w:b/>
          <w:bCs/>
          <w:color w:val="222222"/>
          <w:sz w:val="28"/>
          <w:szCs w:val="28"/>
          <w:lang w:val="en-US"/>
        </w:rPr>
        <w:t>THE</w:t>
      </w:r>
      <w:r w:rsidR="00B05D8A" w:rsidRPr="00F83A22">
        <w:rPr>
          <w:rFonts w:hint="eastAsia"/>
          <w:b/>
          <w:bCs/>
          <w:sz w:val="28"/>
          <w:szCs w:val="28"/>
          <w:lang w:val="es-419"/>
        </w:rPr>
        <w:t xml:space="preserve"> </w:t>
      </w:r>
      <w:r w:rsidR="00B05D8A" w:rsidRPr="00DF57BD">
        <w:rPr>
          <w:rFonts w:ascii="Times New Roman" w:hAnsi="Times New Roman" w:cs="Times New Roman" w:hint="eastAsia"/>
          <w:b/>
          <w:bCs/>
          <w:color w:val="222222"/>
          <w:sz w:val="28"/>
          <w:szCs w:val="28"/>
          <w:lang w:val="en-US"/>
        </w:rPr>
        <w:t xml:space="preserve">NEUTRALITY OF LAW No. 12,973/2014 </w:t>
      </w:r>
      <w:r w:rsidR="00733097" w:rsidRPr="00DF57BD">
        <w:rPr>
          <w:rFonts w:ascii="Times New Roman" w:hAnsi="Times New Roman" w:cs="Times New Roman"/>
          <w:b/>
          <w:bCs/>
          <w:color w:val="222222"/>
          <w:sz w:val="28"/>
          <w:szCs w:val="28"/>
          <w:lang w:val="en-US"/>
        </w:rPr>
        <w:t>IN TAXATION</w:t>
      </w:r>
      <w:r w:rsidR="00C823EF" w:rsidRPr="00DF57BD">
        <w:rPr>
          <w:rFonts w:ascii="Times New Roman" w:hAnsi="Times New Roman" w:cs="Times New Roman"/>
          <w:b/>
          <w:bCs/>
          <w:color w:val="222222"/>
          <w:sz w:val="28"/>
          <w:szCs w:val="28"/>
          <w:lang w:val="en-US"/>
        </w:rPr>
        <w:t xml:space="preserve"> OF PROFIT</w:t>
      </w:r>
      <w:r w:rsidR="00B05D8A" w:rsidRPr="00DF57BD">
        <w:rPr>
          <w:rFonts w:ascii="Times New Roman" w:hAnsi="Times New Roman" w:cs="Times New Roman" w:hint="eastAsia"/>
          <w:b/>
          <w:bCs/>
          <w:color w:val="222222"/>
          <w:sz w:val="28"/>
          <w:szCs w:val="28"/>
          <w:lang w:val="en-US"/>
        </w:rPr>
        <w:t>: A</w:t>
      </w:r>
      <w:r w:rsidR="00B05D8A" w:rsidRPr="00DF57BD">
        <w:rPr>
          <w:rFonts w:ascii="Times New Roman" w:hAnsi="Times New Roman" w:cs="Times New Roman"/>
          <w:b/>
          <w:bCs/>
          <w:color w:val="222222"/>
          <w:sz w:val="28"/>
          <w:szCs w:val="28"/>
          <w:lang w:val="en-US"/>
        </w:rPr>
        <w:t>N</w:t>
      </w:r>
      <w:r w:rsidR="00B05D8A" w:rsidRPr="00DF57BD">
        <w:rPr>
          <w:rFonts w:ascii="Times New Roman" w:hAnsi="Times New Roman" w:cs="Times New Roman" w:hint="eastAsia"/>
          <w:b/>
          <w:bCs/>
          <w:color w:val="222222"/>
          <w:sz w:val="28"/>
          <w:szCs w:val="28"/>
          <w:lang w:val="en-US"/>
        </w:rPr>
        <w:t xml:space="preserve"> ANALYSIS OF THE EFFECTIVE TAX RATE</w:t>
      </w:r>
      <w:r w:rsidR="0016448B" w:rsidRPr="00DF57BD">
        <w:rPr>
          <w:rFonts w:ascii="Times New Roman" w:hAnsi="Times New Roman" w:cs="Times New Roman"/>
          <w:b/>
          <w:bCs/>
          <w:color w:val="222222"/>
          <w:sz w:val="28"/>
          <w:szCs w:val="28"/>
          <w:lang w:val="en-US"/>
        </w:rPr>
        <w:t xml:space="preserve"> (ETR) </w:t>
      </w:r>
      <w:r w:rsidR="00B05D8A" w:rsidRPr="00DF57BD">
        <w:rPr>
          <w:rFonts w:ascii="Times New Roman" w:hAnsi="Times New Roman" w:cs="Times New Roman" w:hint="eastAsia"/>
          <w:b/>
          <w:bCs/>
          <w:color w:val="222222"/>
          <w:sz w:val="28"/>
          <w:szCs w:val="28"/>
          <w:lang w:val="en-US"/>
        </w:rPr>
        <w:t xml:space="preserve">IN BRAZILIAN </w:t>
      </w:r>
      <w:r w:rsidR="00733097" w:rsidRPr="00DF57BD">
        <w:rPr>
          <w:rFonts w:ascii="Times New Roman" w:hAnsi="Times New Roman" w:cs="Times New Roman"/>
          <w:b/>
          <w:bCs/>
          <w:color w:val="222222"/>
          <w:sz w:val="28"/>
          <w:szCs w:val="28"/>
          <w:lang w:val="en-US"/>
        </w:rPr>
        <w:t>COMPANIES</w:t>
      </w:r>
    </w:p>
    <w:p w14:paraId="2228BDA1" w14:textId="0FFF923F" w:rsidR="00DF57BD" w:rsidRDefault="00DF57BD" w:rsidP="009862D6">
      <w:pPr>
        <w:spacing w:after="120"/>
        <w:jc w:val="center"/>
        <w:rPr>
          <w:rFonts w:ascii="Times New Roman" w:hAnsi="Times New Roman" w:cs="Times New Roman"/>
          <w:b/>
          <w:bCs/>
          <w:color w:val="222222"/>
          <w:sz w:val="28"/>
          <w:szCs w:val="28"/>
          <w:lang w:val="en-US"/>
        </w:rPr>
      </w:pPr>
    </w:p>
    <w:p w14:paraId="5A9A3CAC" w14:textId="01EECF83" w:rsidR="00DF57BD" w:rsidRPr="00DF57BD" w:rsidRDefault="00DF57BD" w:rsidP="009862D6">
      <w:pPr>
        <w:spacing w:after="120"/>
        <w:jc w:val="center"/>
        <w:rPr>
          <w:rFonts w:ascii="Times New Roman" w:hAnsi="Times New Roman" w:cs="Times New Roman"/>
          <w:b/>
          <w:bCs/>
          <w:color w:val="222222"/>
          <w:sz w:val="28"/>
          <w:szCs w:val="28"/>
          <w:lang w:val="en-US"/>
        </w:rPr>
      </w:pPr>
      <w:r w:rsidRPr="00DF57BD">
        <w:rPr>
          <w:rFonts w:ascii="Times New Roman" w:hAnsi="Times New Roman" w:cs="Times New Roman" w:hint="eastAsia"/>
          <w:b/>
          <w:bCs/>
          <w:color w:val="222222"/>
          <w:sz w:val="28"/>
          <w:szCs w:val="28"/>
          <w:lang w:val="en-US"/>
        </w:rPr>
        <w:t xml:space="preserve">LA NEUTRALIDAD DE LA LEY No 12.973/2014 SOBRE LA TRIBUTACIÓN DEL BENEFICIO: </w:t>
      </w:r>
      <w:r w:rsidR="00AD5342">
        <w:rPr>
          <w:rFonts w:ascii="Times New Roman" w:hAnsi="Times New Roman" w:cs="Times New Roman"/>
          <w:b/>
          <w:bCs/>
          <w:color w:val="222222"/>
          <w:sz w:val="28"/>
          <w:szCs w:val="28"/>
          <w:lang w:val="en-US"/>
        </w:rPr>
        <w:t xml:space="preserve">UN </w:t>
      </w:r>
      <w:r w:rsidRPr="00DF57BD">
        <w:rPr>
          <w:rFonts w:ascii="Times New Roman" w:hAnsi="Times New Roman" w:cs="Times New Roman" w:hint="eastAsia"/>
          <w:b/>
          <w:bCs/>
          <w:color w:val="222222"/>
          <w:sz w:val="28"/>
          <w:szCs w:val="28"/>
          <w:lang w:val="en-US"/>
        </w:rPr>
        <w:t xml:space="preserve">ANÁLISIS DE </w:t>
      </w:r>
      <w:r w:rsidR="00990F1C">
        <w:rPr>
          <w:rFonts w:ascii="Times New Roman" w:hAnsi="Times New Roman" w:cs="Times New Roman"/>
          <w:b/>
          <w:bCs/>
          <w:color w:val="222222"/>
          <w:sz w:val="28"/>
          <w:szCs w:val="28"/>
          <w:lang w:val="en-US"/>
        </w:rPr>
        <w:t>LA TASA IMPOSITIVA EFECTIVA</w:t>
      </w:r>
      <w:r w:rsidRPr="00DF57BD">
        <w:rPr>
          <w:rFonts w:ascii="Times New Roman" w:hAnsi="Times New Roman" w:cs="Times New Roman" w:hint="eastAsia"/>
          <w:b/>
          <w:bCs/>
          <w:color w:val="222222"/>
          <w:sz w:val="28"/>
          <w:szCs w:val="28"/>
          <w:lang w:val="en-US"/>
        </w:rPr>
        <w:t xml:space="preserve"> </w:t>
      </w:r>
      <w:r w:rsidR="00990F1C">
        <w:rPr>
          <w:rFonts w:ascii="Times New Roman" w:hAnsi="Times New Roman" w:cs="Times New Roman"/>
          <w:b/>
          <w:bCs/>
          <w:color w:val="222222"/>
          <w:sz w:val="28"/>
          <w:szCs w:val="28"/>
          <w:lang w:val="en-US"/>
        </w:rPr>
        <w:t xml:space="preserve">(ETR) </w:t>
      </w:r>
      <w:r w:rsidRPr="00DF57BD">
        <w:rPr>
          <w:rFonts w:ascii="Times New Roman" w:hAnsi="Times New Roman" w:cs="Times New Roman" w:hint="eastAsia"/>
          <w:b/>
          <w:bCs/>
          <w:color w:val="222222"/>
          <w:sz w:val="28"/>
          <w:szCs w:val="28"/>
          <w:lang w:val="en-US"/>
        </w:rPr>
        <w:t>EN EMPRESAS BRASILEÑAS</w:t>
      </w:r>
    </w:p>
    <w:p w14:paraId="7FCEBD40" w14:textId="77777777" w:rsidR="005D4C7D" w:rsidRPr="00F83A22" w:rsidRDefault="005D4C7D" w:rsidP="009862D6">
      <w:pPr>
        <w:spacing w:after="120"/>
        <w:jc w:val="center"/>
        <w:rPr>
          <w:rFonts w:ascii="Times New Roman" w:hAnsi="Times New Roman" w:cs="Times New Roman"/>
          <w:b/>
          <w:bCs/>
          <w:lang w:val="es-419"/>
        </w:rPr>
      </w:pPr>
    </w:p>
    <w:p w14:paraId="393F42A1" w14:textId="21ECCE84" w:rsidR="005B5958" w:rsidRPr="000F4C71" w:rsidRDefault="00073A36" w:rsidP="009862D6">
      <w:pPr>
        <w:spacing w:after="120"/>
        <w:jc w:val="center"/>
        <w:rPr>
          <w:rFonts w:ascii="Times New Roman" w:hAnsi="Times New Roman" w:cs="Times New Roman"/>
          <w:b/>
          <w:bCs/>
          <w:sz w:val="22"/>
          <w:szCs w:val="22"/>
        </w:rPr>
      </w:pPr>
      <w:r w:rsidRPr="000F4C71">
        <w:rPr>
          <w:rFonts w:ascii="Times New Roman" w:hAnsi="Times New Roman" w:cs="Times New Roman"/>
          <w:b/>
          <w:bCs/>
          <w:sz w:val="22"/>
          <w:szCs w:val="22"/>
        </w:rPr>
        <w:t>RESUMO</w:t>
      </w:r>
    </w:p>
    <w:p w14:paraId="747BFB88" w14:textId="543F446D" w:rsidR="005C6CD0" w:rsidRPr="000F4C71" w:rsidRDefault="0013421D" w:rsidP="009862D6">
      <w:pPr>
        <w:spacing w:after="120"/>
        <w:jc w:val="both"/>
        <w:rPr>
          <w:rFonts w:ascii="Times New Roman" w:hAnsi="Times New Roman" w:cs="Times New Roman"/>
          <w:sz w:val="22"/>
          <w:szCs w:val="22"/>
        </w:rPr>
      </w:pPr>
      <w:r w:rsidRPr="000F4C71">
        <w:rPr>
          <w:rFonts w:ascii="Times New Roman" w:hAnsi="Times New Roman" w:cs="Times New Roman"/>
          <w:sz w:val="22"/>
          <w:szCs w:val="22"/>
        </w:rPr>
        <w:t>A introdução das normas internacionais de contabilidade no Brasil se fez com o compromisso, expresso em lei, de neutralidade tributária. O presente estudo te</w:t>
      </w:r>
      <w:r w:rsidR="006D761E" w:rsidRPr="000F4C71">
        <w:rPr>
          <w:rFonts w:ascii="Times New Roman" w:hAnsi="Times New Roman" w:cs="Times New Roman"/>
          <w:sz w:val="22"/>
          <w:szCs w:val="22"/>
        </w:rPr>
        <w:t>ve</w:t>
      </w:r>
      <w:r w:rsidRPr="000F4C71">
        <w:rPr>
          <w:rFonts w:ascii="Times New Roman" w:hAnsi="Times New Roman" w:cs="Times New Roman"/>
          <w:sz w:val="22"/>
          <w:szCs w:val="22"/>
        </w:rPr>
        <w:t xml:space="preserve"> por objetivo observar se tal compromisso se efetivou na prática, mediante</w:t>
      </w:r>
      <w:r w:rsidR="00DF74A4" w:rsidRPr="000F4C71">
        <w:rPr>
          <w:rFonts w:ascii="Times New Roman" w:hAnsi="Times New Roman" w:cs="Times New Roman"/>
          <w:sz w:val="22"/>
          <w:szCs w:val="22"/>
        </w:rPr>
        <w:t xml:space="preserve"> a</w:t>
      </w:r>
      <w:r w:rsidRPr="000F4C71">
        <w:rPr>
          <w:rFonts w:ascii="Times New Roman" w:hAnsi="Times New Roman" w:cs="Times New Roman"/>
          <w:sz w:val="22"/>
          <w:szCs w:val="22"/>
        </w:rPr>
        <w:t xml:space="preserve"> comparação da alíquota tributária efetiva (</w:t>
      </w:r>
      <w:proofErr w:type="spellStart"/>
      <w:r w:rsidRPr="000F4C71">
        <w:rPr>
          <w:rFonts w:ascii="Times New Roman" w:hAnsi="Times New Roman" w:cs="Times New Roman"/>
          <w:sz w:val="22"/>
          <w:szCs w:val="22"/>
        </w:rPr>
        <w:t>effective</w:t>
      </w:r>
      <w:proofErr w:type="spellEnd"/>
      <w:r w:rsidRPr="000F4C71">
        <w:rPr>
          <w:rFonts w:ascii="Times New Roman" w:hAnsi="Times New Roman" w:cs="Times New Roman"/>
          <w:sz w:val="22"/>
          <w:szCs w:val="22"/>
        </w:rPr>
        <w:t xml:space="preserve"> </w:t>
      </w:r>
      <w:proofErr w:type="spellStart"/>
      <w:r w:rsidRPr="000F4C71">
        <w:rPr>
          <w:rFonts w:ascii="Times New Roman" w:hAnsi="Times New Roman" w:cs="Times New Roman"/>
          <w:sz w:val="22"/>
          <w:szCs w:val="22"/>
        </w:rPr>
        <w:t>tax</w:t>
      </w:r>
      <w:proofErr w:type="spellEnd"/>
      <w:r w:rsidRPr="000F4C71">
        <w:rPr>
          <w:rFonts w:ascii="Times New Roman" w:hAnsi="Times New Roman" w:cs="Times New Roman"/>
          <w:sz w:val="22"/>
          <w:szCs w:val="22"/>
        </w:rPr>
        <w:t xml:space="preserve"> rate – ETR) dos </w:t>
      </w:r>
      <w:r w:rsidR="00066439" w:rsidRPr="000F4C71">
        <w:rPr>
          <w:rFonts w:ascii="Times New Roman" w:hAnsi="Times New Roman" w:cs="Times New Roman"/>
          <w:sz w:val="22"/>
          <w:szCs w:val="22"/>
        </w:rPr>
        <w:t xml:space="preserve">tributos </w:t>
      </w:r>
      <w:r w:rsidRPr="000F4C71">
        <w:rPr>
          <w:rFonts w:ascii="Times New Roman" w:hAnsi="Times New Roman" w:cs="Times New Roman"/>
          <w:sz w:val="22"/>
          <w:szCs w:val="22"/>
        </w:rPr>
        <w:t xml:space="preserve">incidentes sobre o lucro nos períodos de 2010 a 2014, no qual vigorou </w:t>
      </w:r>
      <w:r w:rsidR="007F382C" w:rsidRPr="000F4C71">
        <w:rPr>
          <w:rFonts w:ascii="Times New Roman" w:hAnsi="Times New Roman" w:cs="Times New Roman"/>
          <w:sz w:val="22"/>
          <w:szCs w:val="22"/>
        </w:rPr>
        <w:t xml:space="preserve">o </w:t>
      </w:r>
      <w:r w:rsidRPr="000F4C71">
        <w:rPr>
          <w:rFonts w:ascii="Times New Roman" w:hAnsi="Times New Roman" w:cs="Times New Roman"/>
          <w:sz w:val="22"/>
          <w:szCs w:val="22"/>
        </w:rPr>
        <w:t>Regime Tributário de Transição – RTT, e de 2015 a 2019, já na vigência d</w:t>
      </w:r>
      <w:r w:rsidR="007F0998" w:rsidRPr="000F4C71">
        <w:rPr>
          <w:rFonts w:ascii="Times New Roman" w:hAnsi="Times New Roman" w:cs="Times New Roman"/>
          <w:sz w:val="22"/>
          <w:szCs w:val="22"/>
        </w:rPr>
        <w:t>as</w:t>
      </w:r>
      <w:r w:rsidRPr="000F4C71">
        <w:rPr>
          <w:rFonts w:ascii="Times New Roman" w:hAnsi="Times New Roman" w:cs="Times New Roman"/>
          <w:sz w:val="22"/>
          <w:szCs w:val="22"/>
        </w:rPr>
        <w:t xml:space="preserve"> regras tributárias </w:t>
      </w:r>
      <w:r w:rsidR="007F0998" w:rsidRPr="000F4C71">
        <w:rPr>
          <w:rFonts w:ascii="Times New Roman" w:hAnsi="Times New Roman" w:cs="Times New Roman"/>
          <w:sz w:val="22"/>
          <w:szCs w:val="22"/>
        </w:rPr>
        <w:t>atuais</w:t>
      </w:r>
      <w:r w:rsidR="00066439" w:rsidRPr="000F4C71">
        <w:rPr>
          <w:rFonts w:ascii="Times New Roman" w:hAnsi="Times New Roman" w:cs="Times New Roman"/>
          <w:sz w:val="22"/>
          <w:szCs w:val="22"/>
        </w:rPr>
        <w:t>, instituídas pela Lei nº 12.973, de 13 de maio de 2014</w:t>
      </w:r>
      <w:r w:rsidRPr="000F4C71">
        <w:rPr>
          <w:rFonts w:ascii="Times New Roman" w:hAnsi="Times New Roman" w:cs="Times New Roman"/>
          <w:sz w:val="22"/>
          <w:szCs w:val="22"/>
        </w:rPr>
        <w:t xml:space="preserve">. O trabalho teve como base os </w:t>
      </w:r>
      <w:r w:rsidR="006918E0" w:rsidRPr="000F4C71">
        <w:rPr>
          <w:rFonts w:ascii="Times New Roman" w:hAnsi="Times New Roman" w:cs="Times New Roman"/>
          <w:sz w:val="22"/>
          <w:szCs w:val="22"/>
        </w:rPr>
        <w:t>dados das sociedades anônimas de capital aberto disponíveis no sítio da Comissão de Valores Mobiliários, agrupados por setores de atividade econômica. Na análise</w:t>
      </w:r>
      <w:r w:rsidR="0017368E" w:rsidRPr="000F4C71">
        <w:rPr>
          <w:rFonts w:ascii="Times New Roman" w:hAnsi="Times New Roman" w:cs="Times New Roman"/>
          <w:sz w:val="22"/>
          <w:szCs w:val="22"/>
        </w:rPr>
        <w:t xml:space="preserve"> estatística</w:t>
      </w:r>
      <w:r w:rsidR="006918E0" w:rsidRPr="000F4C71">
        <w:rPr>
          <w:rFonts w:ascii="Times New Roman" w:hAnsi="Times New Roman" w:cs="Times New Roman"/>
          <w:sz w:val="22"/>
          <w:szCs w:val="22"/>
        </w:rPr>
        <w:t xml:space="preserve">, foi utilizado o software SPSS e aplicados os testes de </w:t>
      </w:r>
      <w:proofErr w:type="spellStart"/>
      <w:r w:rsidR="006918E0" w:rsidRPr="000F4C71">
        <w:rPr>
          <w:rFonts w:ascii="Times New Roman" w:hAnsi="Times New Roman" w:cs="Times New Roman"/>
          <w:sz w:val="22"/>
          <w:szCs w:val="22"/>
        </w:rPr>
        <w:t>Ko</w:t>
      </w:r>
      <w:r w:rsidR="00066439" w:rsidRPr="000F4C71">
        <w:rPr>
          <w:rFonts w:ascii="Times New Roman" w:hAnsi="Times New Roman" w:cs="Times New Roman"/>
          <w:sz w:val="22"/>
          <w:szCs w:val="22"/>
        </w:rPr>
        <w:t>l</w:t>
      </w:r>
      <w:r w:rsidR="006918E0" w:rsidRPr="000F4C71">
        <w:rPr>
          <w:rFonts w:ascii="Times New Roman" w:hAnsi="Times New Roman" w:cs="Times New Roman"/>
          <w:sz w:val="22"/>
          <w:szCs w:val="22"/>
        </w:rPr>
        <w:t>mogorov</w:t>
      </w:r>
      <w:proofErr w:type="spellEnd"/>
      <w:r w:rsidR="006918E0" w:rsidRPr="000F4C71">
        <w:rPr>
          <w:rFonts w:ascii="Times New Roman" w:hAnsi="Times New Roman" w:cs="Times New Roman"/>
          <w:sz w:val="22"/>
          <w:szCs w:val="22"/>
        </w:rPr>
        <w:t xml:space="preserve">-Smirnov e de </w:t>
      </w:r>
      <w:proofErr w:type="spellStart"/>
      <w:r w:rsidR="006918E0" w:rsidRPr="000F4C71">
        <w:rPr>
          <w:rFonts w:ascii="Times New Roman" w:hAnsi="Times New Roman" w:cs="Times New Roman"/>
          <w:sz w:val="22"/>
          <w:szCs w:val="22"/>
        </w:rPr>
        <w:t>Wilcoxon</w:t>
      </w:r>
      <w:proofErr w:type="spellEnd"/>
      <w:r w:rsidR="006918E0" w:rsidRPr="000F4C71">
        <w:rPr>
          <w:rFonts w:ascii="Times New Roman" w:hAnsi="Times New Roman" w:cs="Times New Roman"/>
          <w:sz w:val="22"/>
          <w:szCs w:val="22"/>
        </w:rPr>
        <w:t>. O resultado indic</w:t>
      </w:r>
      <w:r w:rsidR="006D761E" w:rsidRPr="000F4C71">
        <w:rPr>
          <w:rFonts w:ascii="Times New Roman" w:hAnsi="Times New Roman" w:cs="Times New Roman"/>
          <w:sz w:val="22"/>
          <w:szCs w:val="22"/>
        </w:rPr>
        <w:t>ou</w:t>
      </w:r>
      <w:r w:rsidR="006918E0" w:rsidRPr="000F4C71">
        <w:rPr>
          <w:rFonts w:ascii="Times New Roman" w:hAnsi="Times New Roman" w:cs="Times New Roman"/>
          <w:sz w:val="22"/>
          <w:szCs w:val="22"/>
        </w:rPr>
        <w:t xml:space="preserve"> que não houve alteração estatisticamente </w:t>
      </w:r>
      <w:r w:rsidR="00066439" w:rsidRPr="000F4C71">
        <w:rPr>
          <w:rFonts w:ascii="Times New Roman" w:hAnsi="Times New Roman" w:cs="Times New Roman"/>
          <w:sz w:val="22"/>
          <w:szCs w:val="22"/>
        </w:rPr>
        <w:t xml:space="preserve">significativa </w:t>
      </w:r>
      <w:r w:rsidR="006918E0" w:rsidRPr="000F4C71">
        <w:rPr>
          <w:rFonts w:ascii="Times New Roman" w:hAnsi="Times New Roman" w:cs="Times New Roman"/>
          <w:sz w:val="22"/>
          <w:szCs w:val="22"/>
        </w:rPr>
        <w:t>nas alíquotas tributárias efetivas para as empresas dos setores de comércio, indústria, serviços e exploração de imóveis</w:t>
      </w:r>
      <w:r w:rsidR="009D62F8" w:rsidRPr="000F4C71">
        <w:rPr>
          <w:rFonts w:ascii="Times New Roman" w:hAnsi="Times New Roman" w:cs="Times New Roman"/>
          <w:sz w:val="22"/>
          <w:szCs w:val="22"/>
        </w:rPr>
        <w:t>.</w:t>
      </w:r>
      <w:r w:rsidR="00DF74A4" w:rsidRPr="000F4C71">
        <w:rPr>
          <w:rFonts w:ascii="Times New Roman" w:hAnsi="Times New Roman" w:cs="Times New Roman"/>
          <w:sz w:val="22"/>
          <w:szCs w:val="22"/>
        </w:rPr>
        <w:t xml:space="preserve"> Todavia, no</w:t>
      </w:r>
      <w:r w:rsidR="009D62F8" w:rsidRPr="000F4C71">
        <w:rPr>
          <w:rFonts w:ascii="Times New Roman" w:hAnsi="Times New Roman" w:cs="Times New Roman"/>
          <w:sz w:val="22"/>
          <w:szCs w:val="22"/>
        </w:rPr>
        <w:t xml:space="preserve"> setor financeiro observou-se</w:t>
      </w:r>
      <w:r w:rsidR="007F382C" w:rsidRPr="000F4C71">
        <w:rPr>
          <w:rFonts w:ascii="Times New Roman" w:hAnsi="Times New Roman" w:cs="Times New Roman"/>
          <w:sz w:val="22"/>
          <w:szCs w:val="22"/>
        </w:rPr>
        <w:t xml:space="preserve"> uma</w:t>
      </w:r>
      <w:r w:rsidR="009D62F8" w:rsidRPr="000F4C71">
        <w:rPr>
          <w:rFonts w:ascii="Times New Roman" w:hAnsi="Times New Roman" w:cs="Times New Roman"/>
          <w:sz w:val="22"/>
          <w:szCs w:val="22"/>
        </w:rPr>
        <w:t xml:space="preserve"> redução </w:t>
      </w:r>
      <w:r w:rsidR="00066439" w:rsidRPr="000F4C71">
        <w:rPr>
          <w:rFonts w:ascii="Times New Roman" w:hAnsi="Times New Roman" w:cs="Times New Roman"/>
          <w:sz w:val="22"/>
          <w:szCs w:val="22"/>
        </w:rPr>
        <w:t>estatisticamente significativa</w:t>
      </w:r>
      <w:r w:rsidR="00662999" w:rsidRPr="000F4C71">
        <w:rPr>
          <w:rFonts w:ascii="Times New Roman" w:hAnsi="Times New Roman" w:cs="Times New Roman"/>
          <w:sz w:val="22"/>
          <w:szCs w:val="22"/>
        </w:rPr>
        <w:t xml:space="preserve"> das</w:t>
      </w:r>
      <w:r w:rsidR="009D62F8" w:rsidRPr="000F4C71">
        <w:rPr>
          <w:rFonts w:ascii="Times New Roman" w:hAnsi="Times New Roman" w:cs="Times New Roman"/>
          <w:sz w:val="22"/>
          <w:szCs w:val="22"/>
        </w:rPr>
        <w:t xml:space="preserve"> alíquota</w:t>
      </w:r>
      <w:r w:rsidR="00066439" w:rsidRPr="000F4C71">
        <w:rPr>
          <w:rFonts w:ascii="Times New Roman" w:hAnsi="Times New Roman" w:cs="Times New Roman"/>
          <w:sz w:val="22"/>
          <w:szCs w:val="22"/>
        </w:rPr>
        <w:t>s tributárias</w:t>
      </w:r>
      <w:r w:rsidR="009D62F8" w:rsidRPr="000F4C71">
        <w:rPr>
          <w:rFonts w:ascii="Times New Roman" w:hAnsi="Times New Roman" w:cs="Times New Roman"/>
          <w:sz w:val="22"/>
          <w:szCs w:val="22"/>
        </w:rPr>
        <w:t xml:space="preserve"> efetiva</w:t>
      </w:r>
      <w:r w:rsidR="00066439" w:rsidRPr="000F4C71">
        <w:rPr>
          <w:rFonts w:ascii="Times New Roman" w:hAnsi="Times New Roman" w:cs="Times New Roman"/>
          <w:sz w:val="22"/>
          <w:szCs w:val="22"/>
        </w:rPr>
        <w:t>s</w:t>
      </w:r>
      <w:r w:rsidR="009D62F8" w:rsidRPr="000F4C71">
        <w:rPr>
          <w:rFonts w:ascii="Times New Roman" w:hAnsi="Times New Roman" w:cs="Times New Roman"/>
          <w:sz w:val="22"/>
          <w:szCs w:val="22"/>
        </w:rPr>
        <w:t xml:space="preserve">, mesmo tendo havido no período analisado aumento das alíquotas nominais dos </w:t>
      </w:r>
      <w:r w:rsidR="00066439" w:rsidRPr="000F4C71">
        <w:rPr>
          <w:rFonts w:ascii="Times New Roman" w:hAnsi="Times New Roman" w:cs="Times New Roman"/>
          <w:sz w:val="22"/>
          <w:szCs w:val="22"/>
        </w:rPr>
        <w:t xml:space="preserve">tributos </w:t>
      </w:r>
      <w:r w:rsidR="009D62F8" w:rsidRPr="000F4C71">
        <w:rPr>
          <w:rFonts w:ascii="Times New Roman" w:hAnsi="Times New Roman" w:cs="Times New Roman"/>
          <w:sz w:val="22"/>
          <w:szCs w:val="22"/>
        </w:rPr>
        <w:t xml:space="preserve">incidentes sobre os lucros das </w:t>
      </w:r>
      <w:r w:rsidR="00066439" w:rsidRPr="000F4C71">
        <w:rPr>
          <w:rFonts w:ascii="Times New Roman" w:hAnsi="Times New Roman" w:cs="Times New Roman"/>
          <w:sz w:val="22"/>
          <w:szCs w:val="22"/>
        </w:rPr>
        <w:t xml:space="preserve">companhias </w:t>
      </w:r>
      <w:r w:rsidR="009D62F8" w:rsidRPr="000F4C71">
        <w:rPr>
          <w:rFonts w:ascii="Times New Roman" w:hAnsi="Times New Roman" w:cs="Times New Roman"/>
          <w:sz w:val="22"/>
          <w:szCs w:val="22"/>
        </w:rPr>
        <w:t>desse setor, o que indica a necessidade de aprofundamento da pesquisa visando identificar a causa desse resultado discrepante.</w:t>
      </w:r>
    </w:p>
    <w:p w14:paraId="555476DD" w14:textId="3AE5E3FE" w:rsidR="00073A36" w:rsidRPr="000F4C71" w:rsidRDefault="00073A36" w:rsidP="009862D6">
      <w:pPr>
        <w:spacing w:after="120"/>
        <w:jc w:val="both"/>
        <w:rPr>
          <w:rFonts w:hint="eastAsia"/>
          <w:sz w:val="22"/>
          <w:szCs w:val="22"/>
        </w:rPr>
      </w:pPr>
      <w:r w:rsidRPr="000F4C71">
        <w:rPr>
          <w:rFonts w:ascii="Times New Roman" w:hAnsi="Times New Roman" w:cs="Times New Roman"/>
          <w:b/>
          <w:bCs/>
          <w:sz w:val="22"/>
          <w:szCs w:val="22"/>
        </w:rPr>
        <w:t>Palavras-chave</w:t>
      </w:r>
      <w:r w:rsidRPr="000F4C71">
        <w:rPr>
          <w:rFonts w:ascii="Times New Roman" w:hAnsi="Times New Roman" w:cs="Times New Roman"/>
          <w:sz w:val="22"/>
          <w:szCs w:val="22"/>
        </w:rPr>
        <w:t>:</w:t>
      </w:r>
      <w:r w:rsidR="00BC7D86" w:rsidRPr="000F4C71">
        <w:rPr>
          <w:rFonts w:ascii="Times New Roman" w:hAnsi="Times New Roman" w:cs="Times New Roman"/>
          <w:sz w:val="22"/>
          <w:szCs w:val="22"/>
        </w:rPr>
        <w:t xml:space="preserve"> </w:t>
      </w:r>
      <w:r w:rsidR="00376DDF" w:rsidRPr="000F4C71">
        <w:rPr>
          <w:rFonts w:ascii="Times New Roman" w:hAnsi="Times New Roman" w:cs="Times New Roman"/>
          <w:sz w:val="22"/>
          <w:szCs w:val="22"/>
        </w:rPr>
        <w:t>A</w:t>
      </w:r>
      <w:r w:rsidR="00BC7D86" w:rsidRPr="000F4C71">
        <w:rPr>
          <w:rFonts w:ascii="Times New Roman" w:hAnsi="Times New Roman" w:cs="Times New Roman"/>
          <w:sz w:val="22"/>
          <w:szCs w:val="22"/>
        </w:rPr>
        <w:t xml:space="preserve">líquota </w:t>
      </w:r>
      <w:r w:rsidR="005C6CD0" w:rsidRPr="000F4C71">
        <w:rPr>
          <w:rFonts w:ascii="Times New Roman" w:hAnsi="Times New Roman" w:cs="Times New Roman"/>
          <w:sz w:val="22"/>
          <w:szCs w:val="22"/>
        </w:rPr>
        <w:t>t</w:t>
      </w:r>
      <w:r w:rsidR="00BC7D86" w:rsidRPr="000F4C71">
        <w:rPr>
          <w:rFonts w:ascii="Times New Roman" w:hAnsi="Times New Roman" w:cs="Times New Roman"/>
          <w:sz w:val="22"/>
          <w:szCs w:val="22"/>
        </w:rPr>
        <w:t xml:space="preserve">ributária </w:t>
      </w:r>
      <w:r w:rsidR="005C6CD0" w:rsidRPr="000F4C71">
        <w:rPr>
          <w:rFonts w:ascii="Times New Roman" w:hAnsi="Times New Roman" w:cs="Times New Roman"/>
          <w:sz w:val="22"/>
          <w:szCs w:val="22"/>
        </w:rPr>
        <w:t>e</w:t>
      </w:r>
      <w:r w:rsidR="00BC7D86" w:rsidRPr="000F4C71">
        <w:rPr>
          <w:rFonts w:ascii="Times New Roman" w:hAnsi="Times New Roman" w:cs="Times New Roman"/>
          <w:sz w:val="22"/>
          <w:szCs w:val="22"/>
        </w:rPr>
        <w:t>fetiva</w:t>
      </w:r>
      <w:r w:rsidR="00E77E66" w:rsidRPr="000F4C71">
        <w:rPr>
          <w:rFonts w:ascii="Times New Roman" w:hAnsi="Times New Roman" w:cs="Times New Roman"/>
          <w:sz w:val="22"/>
          <w:szCs w:val="22"/>
        </w:rPr>
        <w:t>.</w:t>
      </w:r>
      <w:r w:rsidR="00376DDF" w:rsidRPr="000F4C71">
        <w:rPr>
          <w:rFonts w:ascii="Times New Roman" w:hAnsi="Times New Roman" w:cs="Times New Roman"/>
          <w:sz w:val="22"/>
          <w:szCs w:val="22"/>
        </w:rPr>
        <w:t xml:space="preserve"> </w:t>
      </w:r>
      <w:r w:rsidR="00E77E66" w:rsidRPr="000F4C71">
        <w:rPr>
          <w:rFonts w:ascii="Times New Roman" w:hAnsi="Times New Roman" w:cs="Times New Roman"/>
          <w:sz w:val="22"/>
          <w:szCs w:val="22"/>
        </w:rPr>
        <w:t xml:space="preserve">Alíquota </w:t>
      </w:r>
      <w:r w:rsidR="005C6CD0" w:rsidRPr="000F4C71">
        <w:rPr>
          <w:rFonts w:ascii="Times New Roman" w:hAnsi="Times New Roman" w:cs="Times New Roman"/>
          <w:sz w:val="22"/>
          <w:szCs w:val="22"/>
        </w:rPr>
        <w:t>t</w:t>
      </w:r>
      <w:r w:rsidR="00E77E66" w:rsidRPr="000F4C71">
        <w:rPr>
          <w:rFonts w:ascii="Times New Roman" w:hAnsi="Times New Roman" w:cs="Times New Roman"/>
          <w:sz w:val="22"/>
          <w:szCs w:val="22"/>
        </w:rPr>
        <w:t xml:space="preserve">ributária </w:t>
      </w:r>
      <w:r w:rsidR="005C6CD0" w:rsidRPr="000F4C71">
        <w:rPr>
          <w:rFonts w:ascii="Times New Roman" w:hAnsi="Times New Roman" w:cs="Times New Roman"/>
          <w:sz w:val="22"/>
          <w:szCs w:val="22"/>
        </w:rPr>
        <w:t>e</w:t>
      </w:r>
      <w:r w:rsidR="00E77E66" w:rsidRPr="000F4C71">
        <w:rPr>
          <w:rFonts w:ascii="Times New Roman" w:hAnsi="Times New Roman" w:cs="Times New Roman"/>
          <w:sz w:val="22"/>
          <w:szCs w:val="22"/>
        </w:rPr>
        <w:t xml:space="preserve">fetiva de </w:t>
      </w:r>
      <w:r w:rsidR="005C6CD0" w:rsidRPr="000F4C71">
        <w:rPr>
          <w:rFonts w:ascii="Times New Roman" w:hAnsi="Times New Roman" w:cs="Times New Roman"/>
          <w:sz w:val="22"/>
          <w:szCs w:val="22"/>
        </w:rPr>
        <w:t>l</w:t>
      </w:r>
      <w:r w:rsidR="00E77E66" w:rsidRPr="000F4C71">
        <w:rPr>
          <w:rFonts w:ascii="Times New Roman" w:hAnsi="Times New Roman" w:cs="Times New Roman"/>
          <w:sz w:val="22"/>
          <w:szCs w:val="22"/>
        </w:rPr>
        <w:t xml:space="preserve">ongo </w:t>
      </w:r>
      <w:r w:rsidR="005C6CD0" w:rsidRPr="000F4C71">
        <w:rPr>
          <w:rFonts w:ascii="Times New Roman" w:hAnsi="Times New Roman" w:cs="Times New Roman"/>
          <w:sz w:val="22"/>
          <w:szCs w:val="22"/>
        </w:rPr>
        <w:t>p</w:t>
      </w:r>
      <w:r w:rsidR="00E77E66" w:rsidRPr="000F4C71">
        <w:rPr>
          <w:rFonts w:ascii="Times New Roman" w:hAnsi="Times New Roman" w:cs="Times New Roman"/>
          <w:sz w:val="22"/>
          <w:szCs w:val="22"/>
        </w:rPr>
        <w:t xml:space="preserve">razo. </w:t>
      </w:r>
      <w:r w:rsidR="00662999" w:rsidRPr="000F4C71">
        <w:rPr>
          <w:rFonts w:ascii="Times New Roman" w:hAnsi="Times New Roman" w:cs="Times New Roman"/>
          <w:sz w:val="22"/>
          <w:szCs w:val="22"/>
        </w:rPr>
        <w:t xml:space="preserve">Lei nº 12.973, de 13 de </w:t>
      </w:r>
      <w:r w:rsidR="003435E2" w:rsidRPr="000F4C71">
        <w:rPr>
          <w:rFonts w:ascii="Times New Roman" w:hAnsi="Times New Roman" w:cs="Times New Roman"/>
          <w:sz w:val="22"/>
          <w:szCs w:val="22"/>
        </w:rPr>
        <w:t>m</w:t>
      </w:r>
      <w:r w:rsidR="00662999" w:rsidRPr="000F4C71">
        <w:rPr>
          <w:rFonts w:ascii="Times New Roman" w:hAnsi="Times New Roman" w:cs="Times New Roman"/>
          <w:sz w:val="22"/>
          <w:szCs w:val="22"/>
        </w:rPr>
        <w:t>aio de 2014</w:t>
      </w:r>
      <w:r w:rsidR="00E77E66" w:rsidRPr="000F4C71">
        <w:rPr>
          <w:rFonts w:ascii="Times New Roman" w:hAnsi="Times New Roman" w:cs="Times New Roman"/>
          <w:sz w:val="22"/>
          <w:szCs w:val="22"/>
        </w:rPr>
        <w:t>.</w:t>
      </w:r>
      <w:r w:rsidR="00662999" w:rsidRPr="000F4C71">
        <w:rPr>
          <w:rFonts w:ascii="Times New Roman" w:hAnsi="Times New Roman" w:cs="Times New Roman"/>
          <w:sz w:val="22"/>
          <w:szCs w:val="22"/>
        </w:rPr>
        <w:t xml:space="preserve"> Regime Tributário de Transição – RTT.</w:t>
      </w:r>
    </w:p>
    <w:p w14:paraId="2460E6E9" w14:textId="77777777" w:rsidR="00073A36" w:rsidRDefault="00073A36" w:rsidP="009862D6">
      <w:pPr>
        <w:spacing w:after="120"/>
        <w:jc w:val="both"/>
        <w:rPr>
          <w:rFonts w:ascii="Times New Roman" w:hAnsi="Times New Roman" w:cs="Times New Roman"/>
        </w:rPr>
      </w:pPr>
    </w:p>
    <w:p w14:paraId="34873E54" w14:textId="1D51CB72" w:rsidR="005B5958" w:rsidRPr="000F4C71" w:rsidRDefault="00B62F97" w:rsidP="009862D6">
      <w:pPr>
        <w:spacing w:after="120"/>
        <w:jc w:val="center"/>
        <w:rPr>
          <w:rFonts w:ascii="Times New Roman" w:hAnsi="Times New Roman" w:cs="Times New Roman"/>
          <w:b/>
          <w:bCs/>
          <w:color w:val="222222"/>
          <w:sz w:val="22"/>
          <w:szCs w:val="22"/>
          <w:lang w:val="en-US"/>
        </w:rPr>
      </w:pPr>
      <w:bookmarkStart w:id="0" w:name="tw-target-text"/>
      <w:bookmarkEnd w:id="0"/>
      <w:r w:rsidRPr="000F4C71">
        <w:rPr>
          <w:rFonts w:ascii="Times New Roman" w:hAnsi="Times New Roman" w:cs="Times New Roman"/>
          <w:b/>
          <w:bCs/>
          <w:color w:val="222222"/>
          <w:sz w:val="22"/>
          <w:szCs w:val="22"/>
          <w:lang w:val="en-US"/>
        </w:rPr>
        <w:t>ABSTRACT</w:t>
      </w:r>
    </w:p>
    <w:p w14:paraId="565D2B3F" w14:textId="76413AE3" w:rsidR="005C6CD0" w:rsidRPr="000F4C71" w:rsidRDefault="00376DDF" w:rsidP="00C6055F">
      <w:pPr>
        <w:spacing w:after="120"/>
        <w:jc w:val="both"/>
        <w:rPr>
          <w:rFonts w:ascii="Times New Roman" w:hAnsi="Times New Roman" w:cs="Times New Roman"/>
          <w:color w:val="222222"/>
          <w:sz w:val="22"/>
          <w:szCs w:val="22"/>
          <w:lang w:val="en-US"/>
        </w:rPr>
      </w:pPr>
      <w:r w:rsidRPr="000F4C71">
        <w:rPr>
          <w:rFonts w:ascii="Times New Roman" w:hAnsi="Times New Roman" w:cs="Times New Roman"/>
          <w:color w:val="222222"/>
          <w:sz w:val="22"/>
          <w:szCs w:val="22"/>
          <w:lang w:val="en-US"/>
        </w:rPr>
        <w:t>T</w:t>
      </w:r>
      <w:r w:rsidRPr="000F4C71">
        <w:rPr>
          <w:rFonts w:ascii="Times New Roman" w:hAnsi="Times New Roman" w:cs="Times New Roman" w:hint="eastAsia"/>
          <w:color w:val="222222"/>
          <w:sz w:val="22"/>
          <w:szCs w:val="22"/>
          <w:lang w:val="en-US"/>
        </w:rPr>
        <w:t xml:space="preserve">he </w:t>
      </w:r>
      <w:r w:rsidRPr="000F4C71">
        <w:rPr>
          <w:rFonts w:ascii="Times New Roman" w:hAnsi="Times New Roman" w:cs="Times New Roman"/>
          <w:color w:val="222222"/>
          <w:sz w:val="22"/>
          <w:szCs w:val="22"/>
          <w:lang w:val="en-US"/>
        </w:rPr>
        <w:t>I</w:t>
      </w:r>
      <w:r w:rsidRPr="000F4C71">
        <w:rPr>
          <w:rFonts w:ascii="Times New Roman" w:hAnsi="Times New Roman" w:cs="Times New Roman" w:hint="eastAsia"/>
          <w:color w:val="222222"/>
          <w:sz w:val="22"/>
          <w:szCs w:val="22"/>
          <w:lang w:val="en-US"/>
        </w:rPr>
        <w:t xml:space="preserve">nternational </w:t>
      </w:r>
      <w:r w:rsidRPr="000F4C71">
        <w:rPr>
          <w:rFonts w:ascii="Times New Roman" w:hAnsi="Times New Roman" w:cs="Times New Roman"/>
          <w:color w:val="222222"/>
          <w:sz w:val="22"/>
          <w:szCs w:val="22"/>
          <w:lang w:val="en-US"/>
        </w:rPr>
        <w:t>Financial Reporting Standard</w:t>
      </w:r>
      <w:r w:rsidRPr="000F4C71">
        <w:rPr>
          <w:rFonts w:ascii="Times New Roman" w:hAnsi="Times New Roman" w:cs="Times New Roman" w:hint="eastAsia"/>
          <w:color w:val="222222"/>
          <w:sz w:val="22"/>
          <w:szCs w:val="22"/>
          <w:lang w:val="en-US"/>
        </w:rPr>
        <w:t>s</w:t>
      </w:r>
      <w:r w:rsidR="00F2675C" w:rsidRPr="000F4C71">
        <w:rPr>
          <w:rFonts w:ascii="Times New Roman" w:hAnsi="Times New Roman" w:cs="Times New Roman"/>
          <w:color w:val="222222"/>
          <w:sz w:val="22"/>
          <w:szCs w:val="22"/>
          <w:lang w:val="en-US"/>
        </w:rPr>
        <w:t xml:space="preserve"> (IFRS)</w:t>
      </w:r>
      <w:r w:rsidRPr="000F4C71">
        <w:rPr>
          <w:rFonts w:ascii="Times New Roman" w:hAnsi="Times New Roman" w:cs="Times New Roman" w:hint="eastAsia"/>
          <w:color w:val="222222"/>
          <w:sz w:val="22"/>
          <w:szCs w:val="22"/>
          <w:lang w:val="en-US"/>
        </w:rPr>
        <w:t xml:space="preserve"> </w:t>
      </w:r>
      <w:r w:rsidRPr="000F4C71">
        <w:rPr>
          <w:rFonts w:ascii="Times New Roman" w:hAnsi="Times New Roman" w:cs="Times New Roman"/>
          <w:color w:val="222222"/>
          <w:sz w:val="22"/>
          <w:szCs w:val="22"/>
          <w:lang w:val="en-US"/>
        </w:rPr>
        <w:t xml:space="preserve">were introduced </w:t>
      </w:r>
      <w:r w:rsidRPr="000F4C71">
        <w:rPr>
          <w:rFonts w:ascii="Times New Roman" w:hAnsi="Times New Roman" w:cs="Times New Roman" w:hint="eastAsia"/>
          <w:color w:val="222222"/>
          <w:sz w:val="22"/>
          <w:szCs w:val="22"/>
          <w:lang w:val="en-US"/>
        </w:rPr>
        <w:t xml:space="preserve">in </w:t>
      </w:r>
      <w:r w:rsidR="00F2675C" w:rsidRPr="000F4C71">
        <w:rPr>
          <w:rFonts w:ascii="Times New Roman" w:hAnsi="Times New Roman" w:cs="Times New Roman"/>
          <w:color w:val="222222"/>
          <w:sz w:val="22"/>
          <w:szCs w:val="22"/>
          <w:lang w:val="en-US"/>
        </w:rPr>
        <w:t>Bra</w:t>
      </w:r>
      <w:r w:rsidR="003435E2" w:rsidRPr="000F4C71">
        <w:rPr>
          <w:rFonts w:ascii="Times New Roman" w:hAnsi="Times New Roman" w:cs="Times New Roman"/>
          <w:color w:val="222222"/>
          <w:sz w:val="22"/>
          <w:szCs w:val="22"/>
          <w:lang w:val="en-US"/>
        </w:rPr>
        <w:t>zil</w:t>
      </w:r>
      <w:r w:rsidRPr="000F4C71">
        <w:rPr>
          <w:rFonts w:ascii="Times New Roman" w:hAnsi="Times New Roman" w:cs="Times New Roman"/>
          <w:color w:val="222222"/>
          <w:sz w:val="22"/>
          <w:szCs w:val="22"/>
          <w:lang w:val="en-US"/>
        </w:rPr>
        <w:t xml:space="preserve"> w</w:t>
      </w:r>
      <w:r w:rsidRPr="000F4C71">
        <w:rPr>
          <w:rFonts w:ascii="Times New Roman" w:hAnsi="Times New Roman" w:cs="Times New Roman" w:hint="eastAsia"/>
          <w:color w:val="222222"/>
          <w:sz w:val="22"/>
          <w:szCs w:val="22"/>
          <w:lang w:val="en-US"/>
        </w:rPr>
        <w:t>ith the commitment of tax neutrality. The present study aim</w:t>
      </w:r>
      <w:r w:rsidR="006D761E" w:rsidRPr="000F4C71">
        <w:rPr>
          <w:rFonts w:ascii="Times New Roman" w:hAnsi="Times New Roman" w:cs="Times New Roman"/>
          <w:color w:val="222222"/>
          <w:sz w:val="22"/>
          <w:szCs w:val="22"/>
          <w:lang w:val="en-US"/>
        </w:rPr>
        <w:t>ed</w:t>
      </w:r>
      <w:r w:rsidRPr="000F4C71">
        <w:rPr>
          <w:rFonts w:ascii="Times New Roman" w:hAnsi="Times New Roman" w:cs="Times New Roman" w:hint="eastAsia"/>
          <w:color w:val="222222"/>
          <w:sz w:val="22"/>
          <w:szCs w:val="22"/>
          <w:lang w:val="en-US"/>
        </w:rPr>
        <w:t xml:space="preserve"> to observe whether such commitment was carried out in practice, by comparing the effective tax rate (ETR) of taxes levied on profits in the periods from 2010 to 2014, in which the</w:t>
      </w:r>
      <w:r w:rsidR="009A3468" w:rsidRPr="000F4C71">
        <w:rPr>
          <w:rFonts w:ascii="Times New Roman" w:hAnsi="Times New Roman" w:cs="Times New Roman"/>
          <w:color w:val="222222"/>
          <w:sz w:val="22"/>
          <w:szCs w:val="22"/>
          <w:lang w:val="en-US"/>
        </w:rPr>
        <w:t xml:space="preserve"> transitory</w:t>
      </w:r>
      <w:r w:rsidR="00662999" w:rsidRPr="000F4C71">
        <w:rPr>
          <w:rFonts w:ascii="Times New Roman" w:hAnsi="Times New Roman" w:cs="Times New Roman"/>
          <w:color w:val="222222"/>
          <w:sz w:val="22"/>
          <w:szCs w:val="22"/>
          <w:lang w:val="en-US"/>
        </w:rPr>
        <w:t xml:space="preserve"> tax</w:t>
      </w:r>
      <w:r w:rsidR="009A3468" w:rsidRPr="000F4C71">
        <w:rPr>
          <w:rFonts w:ascii="Times New Roman" w:hAnsi="Times New Roman" w:cs="Times New Roman"/>
          <w:color w:val="222222"/>
          <w:sz w:val="22"/>
          <w:szCs w:val="22"/>
          <w:lang w:val="en-US"/>
        </w:rPr>
        <w:t xml:space="preserve"> regime called</w:t>
      </w:r>
      <w:r w:rsidRPr="000F4C71">
        <w:rPr>
          <w:rFonts w:ascii="Times New Roman" w:hAnsi="Times New Roman" w:cs="Times New Roman" w:hint="eastAsia"/>
          <w:color w:val="222222"/>
          <w:sz w:val="22"/>
          <w:szCs w:val="22"/>
          <w:lang w:val="en-US"/>
        </w:rPr>
        <w:t xml:space="preserve"> </w:t>
      </w:r>
      <w:r w:rsidR="00066439" w:rsidRPr="000F4C71">
        <w:rPr>
          <w:rFonts w:ascii="Times New Roman" w:hAnsi="Times New Roman" w:cs="Times New Roman"/>
          <w:color w:val="222222"/>
          <w:sz w:val="22"/>
          <w:szCs w:val="22"/>
          <w:lang w:val="en-US"/>
        </w:rPr>
        <w:t xml:space="preserve">Regime </w:t>
      </w:r>
      <w:proofErr w:type="spellStart"/>
      <w:r w:rsidR="00066439" w:rsidRPr="000F4C71">
        <w:rPr>
          <w:rFonts w:ascii="Times New Roman" w:hAnsi="Times New Roman" w:cs="Times New Roman"/>
          <w:color w:val="222222"/>
          <w:sz w:val="22"/>
          <w:szCs w:val="22"/>
          <w:lang w:val="en-US"/>
        </w:rPr>
        <w:t>Tributário</w:t>
      </w:r>
      <w:proofErr w:type="spellEnd"/>
      <w:r w:rsidR="00066439" w:rsidRPr="000F4C71">
        <w:rPr>
          <w:rFonts w:ascii="Times New Roman" w:hAnsi="Times New Roman" w:cs="Times New Roman"/>
          <w:color w:val="222222"/>
          <w:sz w:val="22"/>
          <w:szCs w:val="22"/>
          <w:lang w:val="en-US"/>
        </w:rPr>
        <w:t xml:space="preserve"> de </w:t>
      </w:r>
      <w:proofErr w:type="spellStart"/>
      <w:r w:rsidR="00066439" w:rsidRPr="000F4C71">
        <w:rPr>
          <w:rFonts w:ascii="Times New Roman" w:hAnsi="Times New Roman" w:cs="Times New Roman"/>
          <w:color w:val="222222"/>
          <w:sz w:val="22"/>
          <w:szCs w:val="22"/>
          <w:lang w:val="en-US"/>
        </w:rPr>
        <w:t>Transição</w:t>
      </w:r>
      <w:proofErr w:type="spellEnd"/>
      <w:r w:rsidRPr="000F4C71">
        <w:rPr>
          <w:rFonts w:ascii="Times New Roman" w:hAnsi="Times New Roman" w:cs="Times New Roman"/>
          <w:color w:val="222222"/>
          <w:sz w:val="22"/>
          <w:szCs w:val="22"/>
          <w:lang w:val="en-US"/>
        </w:rPr>
        <w:t xml:space="preserve"> - RTT</w:t>
      </w:r>
      <w:r w:rsidRPr="000F4C71">
        <w:rPr>
          <w:rFonts w:ascii="Times New Roman" w:hAnsi="Times New Roman" w:cs="Times New Roman" w:hint="eastAsia"/>
          <w:color w:val="222222"/>
          <w:sz w:val="22"/>
          <w:szCs w:val="22"/>
          <w:lang w:val="en-US"/>
        </w:rPr>
        <w:t xml:space="preserve"> was </w:t>
      </w:r>
      <w:r w:rsidR="00520999" w:rsidRPr="000F4C71">
        <w:rPr>
          <w:rFonts w:ascii="Times New Roman" w:hAnsi="Times New Roman" w:cs="Times New Roman"/>
          <w:color w:val="222222"/>
          <w:sz w:val="22"/>
          <w:szCs w:val="22"/>
          <w:lang w:val="en-US"/>
        </w:rPr>
        <w:t>observed</w:t>
      </w:r>
      <w:r w:rsidRPr="000F4C71">
        <w:rPr>
          <w:rFonts w:ascii="Times New Roman" w:hAnsi="Times New Roman" w:cs="Times New Roman" w:hint="eastAsia"/>
          <w:color w:val="222222"/>
          <w:sz w:val="22"/>
          <w:szCs w:val="22"/>
          <w:lang w:val="en-US"/>
        </w:rPr>
        <w:t xml:space="preserve">, and from 2015 to 2019, </w:t>
      </w:r>
      <w:r w:rsidR="00520999" w:rsidRPr="000F4C71">
        <w:rPr>
          <w:rFonts w:ascii="Times New Roman" w:hAnsi="Times New Roman" w:cs="Times New Roman"/>
          <w:color w:val="222222"/>
          <w:sz w:val="22"/>
          <w:szCs w:val="22"/>
          <w:lang w:val="en-US"/>
        </w:rPr>
        <w:t>with</w:t>
      </w:r>
      <w:r w:rsidR="00E77E66" w:rsidRPr="000F4C71">
        <w:rPr>
          <w:rFonts w:ascii="Times New Roman" w:hAnsi="Times New Roman" w:cs="Times New Roman"/>
          <w:color w:val="222222"/>
          <w:sz w:val="22"/>
          <w:szCs w:val="22"/>
          <w:lang w:val="en-US"/>
        </w:rPr>
        <w:t>in the</w:t>
      </w:r>
      <w:r w:rsidR="00520999" w:rsidRPr="000F4C71">
        <w:rPr>
          <w:rFonts w:ascii="Times New Roman" w:hAnsi="Times New Roman" w:cs="Times New Roman"/>
          <w:color w:val="222222"/>
          <w:sz w:val="22"/>
          <w:szCs w:val="22"/>
          <w:lang w:val="en-US"/>
        </w:rPr>
        <w:t xml:space="preserve"> application</w:t>
      </w:r>
      <w:r w:rsidRPr="000F4C71">
        <w:rPr>
          <w:rFonts w:ascii="Times New Roman" w:hAnsi="Times New Roman" w:cs="Times New Roman" w:hint="eastAsia"/>
          <w:color w:val="222222"/>
          <w:sz w:val="22"/>
          <w:szCs w:val="22"/>
          <w:lang w:val="en-US"/>
        </w:rPr>
        <w:t xml:space="preserve"> of </w:t>
      </w:r>
      <w:r w:rsidR="007F0998" w:rsidRPr="000F4C71">
        <w:rPr>
          <w:rFonts w:ascii="Times New Roman" w:hAnsi="Times New Roman" w:cs="Times New Roman"/>
          <w:color w:val="222222"/>
          <w:sz w:val="22"/>
          <w:szCs w:val="22"/>
          <w:lang w:val="en-US"/>
        </w:rPr>
        <w:t>the current</w:t>
      </w:r>
      <w:r w:rsidRPr="000F4C71">
        <w:rPr>
          <w:rFonts w:ascii="Times New Roman" w:hAnsi="Times New Roman" w:cs="Times New Roman" w:hint="eastAsia"/>
          <w:color w:val="222222"/>
          <w:sz w:val="22"/>
          <w:szCs w:val="22"/>
          <w:lang w:val="en-US"/>
        </w:rPr>
        <w:t xml:space="preserve"> tax rules</w:t>
      </w:r>
      <w:r w:rsidR="00066439" w:rsidRPr="000F4C71">
        <w:rPr>
          <w:rFonts w:ascii="Times New Roman" w:hAnsi="Times New Roman" w:cs="Times New Roman"/>
          <w:color w:val="222222"/>
          <w:sz w:val="22"/>
          <w:szCs w:val="22"/>
          <w:lang w:val="en-US"/>
        </w:rPr>
        <w:t>, established by Federal Law</w:t>
      </w:r>
      <w:r w:rsidR="00E77E66" w:rsidRPr="000F4C71">
        <w:rPr>
          <w:rFonts w:ascii="Times New Roman" w:hAnsi="Times New Roman" w:cs="Times New Roman"/>
          <w:color w:val="222222"/>
          <w:sz w:val="22"/>
          <w:szCs w:val="22"/>
          <w:lang w:val="en-US"/>
        </w:rPr>
        <w:t xml:space="preserve"> </w:t>
      </w:r>
      <w:r w:rsidR="009A3468" w:rsidRPr="000F4C71">
        <w:rPr>
          <w:rFonts w:ascii="Times New Roman" w:hAnsi="Times New Roman" w:cs="Times New Roman"/>
          <w:color w:val="222222"/>
          <w:sz w:val="22"/>
          <w:szCs w:val="22"/>
          <w:lang w:val="en-US"/>
        </w:rPr>
        <w:t xml:space="preserve">12,973 of </w:t>
      </w:r>
      <w:r w:rsidR="00E77E66" w:rsidRPr="000F4C71">
        <w:rPr>
          <w:rFonts w:ascii="Times New Roman" w:hAnsi="Times New Roman" w:cs="Times New Roman"/>
          <w:color w:val="222222"/>
          <w:sz w:val="22"/>
          <w:szCs w:val="22"/>
          <w:lang w:val="en-US"/>
        </w:rPr>
        <w:t xml:space="preserve">May 13, </w:t>
      </w:r>
      <w:r w:rsidR="009A3468" w:rsidRPr="000F4C71">
        <w:rPr>
          <w:rFonts w:ascii="Times New Roman" w:hAnsi="Times New Roman" w:cs="Times New Roman"/>
          <w:color w:val="222222"/>
          <w:sz w:val="22"/>
          <w:szCs w:val="22"/>
          <w:lang w:val="en-US"/>
        </w:rPr>
        <w:t>2014</w:t>
      </w:r>
      <w:r w:rsidRPr="000F4C71">
        <w:rPr>
          <w:rFonts w:ascii="Times New Roman" w:hAnsi="Times New Roman" w:cs="Times New Roman" w:hint="eastAsia"/>
          <w:color w:val="222222"/>
          <w:sz w:val="22"/>
          <w:szCs w:val="22"/>
          <w:lang w:val="en-US"/>
        </w:rPr>
        <w:t xml:space="preserve">. The </w:t>
      </w:r>
      <w:r w:rsidR="00F2675C" w:rsidRPr="000F4C71">
        <w:rPr>
          <w:rFonts w:ascii="Times New Roman" w:hAnsi="Times New Roman" w:cs="Times New Roman"/>
          <w:color w:val="222222"/>
          <w:sz w:val="22"/>
          <w:szCs w:val="22"/>
          <w:lang w:val="en-US"/>
        </w:rPr>
        <w:t>study</w:t>
      </w:r>
      <w:r w:rsidRPr="000F4C71">
        <w:rPr>
          <w:rFonts w:ascii="Times New Roman" w:hAnsi="Times New Roman" w:cs="Times New Roman" w:hint="eastAsia"/>
          <w:color w:val="222222"/>
          <w:sz w:val="22"/>
          <w:szCs w:val="22"/>
          <w:lang w:val="en-US"/>
        </w:rPr>
        <w:t xml:space="preserve"> was based on data from </w:t>
      </w:r>
      <w:r w:rsidR="00520999" w:rsidRPr="000F4C71">
        <w:rPr>
          <w:rFonts w:ascii="Times New Roman" w:hAnsi="Times New Roman" w:cs="Times New Roman"/>
          <w:color w:val="222222"/>
          <w:sz w:val="22"/>
          <w:szCs w:val="22"/>
          <w:lang w:val="en-US"/>
        </w:rPr>
        <w:t>publicly held</w:t>
      </w:r>
      <w:r w:rsidRPr="000F4C71">
        <w:rPr>
          <w:rFonts w:ascii="Times New Roman" w:hAnsi="Times New Roman" w:cs="Times New Roman" w:hint="eastAsia"/>
          <w:color w:val="222222"/>
          <w:sz w:val="22"/>
          <w:szCs w:val="22"/>
          <w:lang w:val="en-US"/>
        </w:rPr>
        <w:t xml:space="preserve"> corporations available on the </w:t>
      </w:r>
      <w:r w:rsidR="00662999" w:rsidRPr="000F4C71">
        <w:rPr>
          <w:rFonts w:ascii="Times New Roman" w:hAnsi="Times New Roman" w:cs="Times New Roman"/>
          <w:color w:val="222222"/>
          <w:sz w:val="22"/>
          <w:szCs w:val="22"/>
          <w:lang w:val="en-US"/>
        </w:rPr>
        <w:t xml:space="preserve">Securities and Exchange Commission of Brazil’s </w:t>
      </w:r>
      <w:r w:rsidRPr="000F4C71">
        <w:rPr>
          <w:rFonts w:ascii="Times New Roman" w:hAnsi="Times New Roman" w:cs="Times New Roman" w:hint="eastAsia"/>
          <w:color w:val="222222"/>
          <w:sz w:val="22"/>
          <w:szCs w:val="22"/>
          <w:lang w:val="en-US"/>
        </w:rPr>
        <w:t xml:space="preserve">website, grouped by sectors of economic activity. In the statistical analysis, the SPSS software was </w:t>
      </w:r>
      <w:proofErr w:type="gramStart"/>
      <w:r w:rsidRPr="000F4C71">
        <w:rPr>
          <w:rFonts w:ascii="Times New Roman" w:hAnsi="Times New Roman" w:cs="Times New Roman" w:hint="eastAsia"/>
          <w:color w:val="222222"/>
          <w:sz w:val="22"/>
          <w:szCs w:val="22"/>
          <w:lang w:val="en-US"/>
        </w:rPr>
        <w:t>used</w:t>
      </w:r>
      <w:proofErr w:type="gramEnd"/>
      <w:r w:rsidRPr="000F4C71">
        <w:rPr>
          <w:rFonts w:ascii="Times New Roman" w:hAnsi="Times New Roman" w:cs="Times New Roman" w:hint="eastAsia"/>
          <w:color w:val="222222"/>
          <w:sz w:val="22"/>
          <w:szCs w:val="22"/>
          <w:lang w:val="en-US"/>
        </w:rPr>
        <w:t xml:space="preserve"> and the Ko</w:t>
      </w:r>
      <w:r w:rsidR="00066439" w:rsidRPr="000F4C71">
        <w:rPr>
          <w:rFonts w:ascii="Times New Roman" w:hAnsi="Times New Roman" w:cs="Times New Roman"/>
          <w:color w:val="222222"/>
          <w:sz w:val="22"/>
          <w:szCs w:val="22"/>
          <w:lang w:val="en-US"/>
        </w:rPr>
        <w:t>l</w:t>
      </w:r>
      <w:r w:rsidRPr="000F4C71">
        <w:rPr>
          <w:rFonts w:ascii="Times New Roman" w:hAnsi="Times New Roman" w:cs="Times New Roman" w:hint="eastAsia"/>
          <w:color w:val="222222"/>
          <w:sz w:val="22"/>
          <w:szCs w:val="22"/>
          <w:lang w:val="en-US"/>
        </w:rPr>
        <w:t xml:space="preserve">mogorov-Smirnov and Wilcoxon tests were applied. The result </w:t>
      </w:r>
      <w:r w:rsidR="00F2675C" w:rsidRPr="000F4C71">
        <w:rPr>
          <w:rFonts w:ascii="Times New Roman" w:hAnsi="Times New Roman" w:cs="Times New Roman"/>
          <w:color w:val="222222"/>
          <w:sz w:val="22"/>
          <w:szCs w:val="22"/>
          <w:lang w:val="en-US"/>
        </w:rPr>
        <w:t>showed</w:t>
      </w:r>
      <w:r w:rsidRPr="000F4C71">
        <w:rPr>
          <w:rFonts w:ascii="Times New Roman" w:hAnsi="Times New Roman" w:cs="Times New Roman" w:hint="eastAsia"/>
          <w:color w:val="222222"/>
          <w:sz w:val="22"/>
          <w:szCs w:val="22"/>
          <w:lang w:val="en-US"/>
        </w:rPr>
        <w:t xml:space="preserve"> that there was no statistically significant change in the effective tax rates for companies in the sectors of commerce, industry, services and real estate exploration. In the financial sector, there was a statistically significant reduction in the effective </w:t>
      </w:r>
      <w:r w:rsidR="00520999" w:rsidRPr="000F4C71">
        <w:rPr>
          <w:rFonts w:ascii="Times New Roman" w:hAnsi="Times New Roman" w:cs="Times New Roman"/>
          <w:color w:val="222222"/>
          <w:sz w:val="22"/>
          <w:szCs w:val="22"/>
          <w:lang w:val="en-US"/>
        </w:rPr>
        <w:t xml:space="preserve">tax </w:t>
      </w:r>
      <w:r w:rsidRPr="000F4C71">
        <w:rPr>
          <w:rFonts w:ascii="Times New Roman" w:hAnsi="Times New Roman" w:cs="Times New Roman" w:hint="eastAsia"/>
          <w:color w:val="222222"/>
          <w:sz w:val="22"/>
          <w:szCs w:val="22"/>
          <w:lang w:val="en-US"/>
        </w:rPr>
        <w:t xml:space="preserve">rate, even though there was an increase in the nominal rates of taxes levied on the profits of companies in this sector </w:t>
      </w:r>
      <w:r w:rsidR="00F2675C" w:rsidRPr="000F4C71">
        <w:rPr>
          <w:rFonts w:ascii="Times New Roman" w:hAnsi="Times New Roman" w:cs="Times New Roman"/>
          <w:color w:val="222222"/>
          <w:sz w:val="22"/>
          <w:szCs w:val="22"/>
          <w:lang w:val="en-US"/>
        </w:rPr>
        <w:t>with</w:t>
      </w:r>
      <w:r w:rsidRPr="000F4C71">
        <w:rPr>
          <w:rFonts w:ascii="Times New Roman" w:hAnsi="Times New Roman" w:cs="Times New Roman" w:hint="eastAsia"/>
          <w:color w:val="222222"/>
          <w:sz w:val="22"/>
          <w:szCs w:val="22"/>
          <w:lang w:val="en-US"/>
        </w:rPr>
        <w:t xml:space="preserve">in the analyzed period, which indicates the need for further research </w:t>
      </w:r>
      <w:r w:rsidR="005D2A6F" w:rsidRPr="000F4C71">
        <w:rPr>
          <w:rFonts w:ascii="Times New Roman" w:hAnsi="Times New Roman" w:cs="Times New Roman"/>
          <w:color w:val="222222"/>
          <w:sz w:val="22"/>
          <w:szCs w:val="22"/>
          <w:lang w:val="en-US"/>
        </w:rPr>
        <w:t xml:space="preserve">in order </w:t>
      </w:r>
      <w:r w:rsidRPr="000F4C71">
        <w:rPr>
          <w:rFonts w:ascii="Times New Roman" w:hAnsi="Times New Roman" w:cs="Times New Roman" w:hint="eastAsia"/>
          <w:color w:val="222222"/>
          <w:sz w:val="22"/>
          <w:szCs w:val="22"/>
          <w:lang w:val="en-US"/>
        </w:rPr>
        <w:t>to identify the cause of this discrepant result.</w:t>
      </w:r>
    </w:p>
    <w:p w14:paraId="4D0B0AA4" w14:textId="3C74B899" w:rsidR="00746F27" w:rsidRPr="000F4C71" w:rsidRDefault="00073A36" w:rsidP="00C6055F">
      <w:pPr>
        <w:spacing w:after="120"/>
        <w:jc w:val="both"/>
        <w:rPr>
          <w:rFonts w:ascii="Times New Roman" w:hAnsi="Times New Roman" w:cs="Times New Roman"/>
          <w:sz w:val="22"/>
          <w:szCs w:val="22"/>
        </w:rPr>
      </w:pPr>
      <w:r w:rsidRPr="000F4C71">
        <w:rPr>
          <w:rFonts w:ascii="Times New Roman" w:hAnsi="Times New Roman" w:cs="Times New Roman"/>
          <w:b/>
          <w:bCs/>
          <w:sz w:val="22"/>
          <w:szCs w:val="22"/>
          <w:lang w:val="en-US"/>
        </w:rPr>
        <w:lastRenderedPageBreak/>
        <w:t>Keywords</w:t>
      </w:r>
      <w:r w:rsidR="005D4C7D" w:rsidRPr="000F4C71">
        <w:rPr>
          <w:rFonts w:ascii="Times New Roman" w:hAnsi="Times New Roman" w:cs="Times New Roman"/>
          <w:sz w:val="22"/>
          <w:szCs w:val="22"/>
        </w:rPr>
        <w:t>:</w:t>
      </w:r>
      <w:r w:rsidR="00376DDF" w:rsidRPr="000F4C71">
        <w:rPr>
          <w:rFonts w:ascii="Times New Roman" w:hAnsi="Times New Roman" w:cs="Times New Roman"/>
          <w:sz w:val="22"/>
          <w:szCs w:val="22"/>
        </w:rPr>
        <w:t xml:space="preserve"> </w:t>
      </w:r>
      <w:proofErr w:type="spellStart"/>
      <w:r w:rsidR="00376DDF" w:rsidRPr="000F4C71">
        <w:rPr>
          <w:rFonts w:ascii="Times New Roman" w:hAnsi="Times New Roman" w:cs="Times New Roman"/>
          <w:sz w:val="22"/>
          <w:szCs w:val="22"/>
        </w:rPr>
        <w:t>Effective</w:t>
      </w:r>
      <w:proofErr w:type="spellEnd"/>
      <w:r w:rsidR="00376DDF" w:rsidRPr="000F4C71">
        <w:rPr>
          <w:rFonts w:ascii="Times New Roman" w:hAnsi="Times New Roman" w:cs="Times New Roman"/>
          <w:sz w:val="22"/>
          <w:szCs w:val="22"/>
        </w:rPr>
        <w:t xml:space="preserve"> </w:t>
      </w:r>
      <w:proofErr w:type="spellStart"/>
      <w:r w:rsidR="00A6769D" w:rsidRPr="000F4C71">
        <w:rPr>
          <w:rFonts w:ascii="Times New Roman" w:hAnsi="Times New Roman" w:cs="Times New Roman"/>
          <w:sz w:val="22"/>
          <w:szCs w:val="22"/>
        </w:rPr>
        <w:t>t</w:t>
      </w:r>
      <w:r w:rsidR="00376DDF" w:rsidRPr="000F4C71">
        <w:rPr>
          <w:rFonts w:ascii="Times New Roman" w:hAnsi="Times New Roman" w:cs="Times New Roman"/>
          <w:sz w:val="22"/>
          <w:szCs w:val="22"/>
        </w:rPr>
        <w:t>ax</w:t>
      </w:r>
      <w:proofErr w:type="spellEnd"/>
      <w:r w:rsidR="00376DDF" w:rsidRPr="000F4C71">
        <w:rPr>
          <w:rFonts w:ascii="Times New Roman" w:hAnsi="Times New Roman" w:cs="Times New Roman"/>
          <w:sz w:val="22"/>
          <w:szCs w:val="22"/>
        </w:rPr>
        <w:t xml:space="preserve"> </w:t>
      </w:r>
      <w:r w:rsidR="00A6769D" w:rsidRPr="000F4C71">
        <w:rPr>
          <w:rFonts w:ascii="Times New Roman" w:hAnsi="Times New Roman" w:cs="Times New Roman"/>
          <w:sz w:val="22"/>
          <w:szCs w:val="22"/>
        </w:rPr>
        <w:t>r</w:t>
      </w:r>
      <w:r w:rsidR="00376DDF" w:rsidRPr="000F4C71">
        <w:rPr>
          <w:rFonts w:ascii="Times New Roman" w:hAnsi="Times New Roman" w:cs="Times New Roman"/>
          <w:sz w:val="22"/>
          <w:szCs w:val="22"/>
        </w:rPr>
        <w:t xml:space="preserve">ate </w:t>
      </w:r>
      <w:r w:rsidR="00C6055F" w:rsidRPr="000F4C71">
        <w:rPr>
          <w:rFonts w:ascii="Times New Roman" w:hAnsi="Times New Roman" w:cs="Times New Roman"/>
          <w:sz w:val="22"/>
          <w:szCs w:val="22"/>
        </w:rPr>
        <w:t>(</w:t>
      </w:r>
      <w:r w:rsidR="00376DDF" w:rsidRPr="000F4C71">
        <w:rPr>
          <w:rFonts w:ascii="Times New Roman" w:hAnsi="Times New Roman" w:cs="Times New Roman"/>
          <w:sz w:val="22"/>
          <w:szCs w:val="22"/>
        </w:rPr>
        <w:t>ETR</w:t>
      </w:r>
      <w:r w:rsidR="00C6055F" w:rsidRPr="000F4C71">
        <w:rPr>
          <w:rFonts w:ascii="Times New Roman" w:hAnsi="Times New Roman" w:cs="Times New Roman"/>
          <w:sz w:val="22"/>
          <w:szCs w:val="22"/>
        </w:rPr>
        <w:t>)</w:t>
      </w:r>
      <w:r w:rsidR="00E77E66" w:rsidRPr="000F4C71">
        <w:rPr>
          <w:rFonts w:ascii="Times New Roman" w:hAnsi="Times New Roman" w:cs="Times New Roman"/>
          <w:sz w:val="22"/>
          <w:szCs w:val="22"/>
        </w:rPr>
        <w:t>.</w:t>
      </w:r>
      <w:r w:rsidR="00376DDF" w:rsidRPr="000F4C71">
        <w:rPr>
          <w:rFonts w:ascii="Times New Roman" w:hAnsi="Times New Roman" w:cs="Times New Roman"/>
          <w:sz w:val="22"/>
          <w:szCs w:val="22"/>
        </w:rPr>
        <w:t xml:space="preserve"> </w:t>
      </w:r>
      <w:proofErr w:type="spellStart"/>
      <w:r w:rsidR="00376DDF" w:rsidRPr="000F4C71">
        <w:rPr>
          <w:rFonts w:ascii="Times New Roman" w:hAnsi="Times New Roman" w:cs="Times New Roman"/>
          <w:sz w:val="22"/>
          <w:szCs w:val="22"/>
        </w:rPr>
        <w:t>Long-</w:t>
      </w:r>
      <w:r w:rsidR="00A6769D" w:rsidRPr="000F4C71">
        <w:rPr>
          <w:rFonts w:ascii="Times New Roman" w:hAnsi="Times New Roman" w:cs="Times New Roman"/>
          <w:sz w:val="22"/>
          <w:szCs w:val="22"/>
        </w:rPr>
        <w:t>r</w:t>
      </w:r>
      <w:r w:rsidR="00376DDF" w:rsidRPr="000F4C71">
        <w:rPr>
          <w:rFonts w:ascii="Times New Roman" w:hAnsi="Times New Roman" w:cs="Times New Roman"/>
          <w:sz w:val="22"/>
          <w:szCs w:val="22"/>
        </w:rPr>
        <w:t>un</w:t>
      </w:r>
      <w:proofErr w:type="spellEnd"/>
      <w:r w:rsidR="00376DDF" w:rsidRPr="000F4C71">
        <w:rPr>
          <w:rFonts w:ascii="Times New Roman" w:hAnsi="Times New Roman" w:cs="Times New Roman"/>
          <w:sz w:val="22"/>
          <w:szCs w:val="22"/>
        </w:rPr>
        <w:t xml:space="preserve"> </w:t>
      </w:r>
      <w:r w:rsidR="00A6769D" w:rsidRPr="000F4C71">
        <w:rPr>
          <w:rFonts w:ascii="Times New Roman" w:hAnsi="Times New Roman" w:cs="Times New Roman"/>
          <w:sz w:val="22"/>
          <w:szCs w:val="22"/>
        </w:rPr>
        <w:t>c</w:t>
      </w:r>
      <w:r w:rsidR="00376DDF" w:rsidRPr="000F4C71">
        <w:rPr>
          <w:rFonts w:ascii="Times New Roman" w:hAnsi="Times New Roman" w:cs="Times New Roman"/>
          <w:sz w:val="22"/>
          <w:szCs w:val="22"/>
        </w:rPr>
        <w:t>ash ETR</w:t>
      </w:r>
      <w:r w:rsidR="00E77E66" w:rsidRPr="000F4C71">
        <w:rPr>
          <w:rFonts w:ascii="Times New Roman" w:hAnsi="Times New Roman" w:cs="Times New Roman"/>
          <w:sz w:val="22"/>
          <w:szCs w:val="22"/>
        </w:rPr>
        <w:t xml:space="preserve">. Federal Law 12,973 </w:t>
      </w:r>
      <w:proofErr w:type="spellStart"/>
      <w:r w:rsidR="00E77E66" w:rsidRPr="000F4C71">
        <w:rPr>
          <w:rFonts w:ascii="Times New Roman" w:hAnsi="Times New Roman" w:cs="Times New Roman"/>
          <w:sz w:val="22"/>
          <w:szCs w:val="22"/>
        </w:rPr>
        <w:t>of</w:t>
      </w:r>
      <w:proofErr w:type="spellEnd"/>
      <w:r w:rsidR="00A6769D" w:rsidRPr="000F4C71">
        <w:rPr>
          <w:rFonts w:ascii="Times New Roman" w:hAnsi="Times New Roman" w:cs="Times New Roman"/>
          <w:sz w:val="22"/>
          <w:szCs w:val="22"/>
        </w:rPr>
        <w:t xml:space="preserve"> </w:t>
      </w:r>
      <w:r w:rsidR="00E77E66" w:rsidRPr="000F4C71">
        <w:rPr>
          <w:rFonts w:ascii="Times New Roman" w:hAnsi="Times New Roman" w:cs="Times New Roman"/>
          <w:sz w:val="22"/>
          <w:szCs w:val="22"/>
        </w:rPr>
        <w:t>May 13, 2014. Regime Tributário de Transição – RTT.</w:t>
      </w:r>
    </w:p>
    <w:p w14:paraId="04EE0674" w14:textId="77777777" w:rsidR="00C6055F" w:rsidRDefault="00C6055F" w:rsidP="00C6055F">
      <w:pPr>
        <w:spacing w:after="120"/>
        <w:jc w:val="both"/>
        <w:rPr>
          <w:rFonts w:ascii="Times New Roman" w:hAnsi="Times New Roman" w:cs="Times New Roman"/>
          <w:b/>
          <w:bCs/>
          <w:color w:val="222222"/>
          <w:lang w:val="en-US"/>
        </w:rPr>
      </w:pPr>
    </w:p>
    <w:p w14:paraId="75B129C5" w14:textId="56C32885" w:rsidR="00746F27" w:rsidRPr="000F4C71" w:rsidRDefault="00746F27" w:rsidP="00746F27">
      <w:pPr>
        <w:spacing w:after="120"/>
        <w:jc w:val="center"/>
        <w:rPr>
          <w:rFonts w:ascii="Times New Roman" w:hAnsi="Times New Roman" w:cs="Times New Roman"/>
          <w:color w:val="222222"/>
          <w:sz w:val="22"/>
          <w:szCs w:val="22"/>
          <w:lang w:val="en-US"/>
        </w:rPr>
      </w:pPr>
      <w:r w:rsidRPr="000F4C71">
        <w:rPr>
          <w:rFonts w:ascii="Times New Roman" w:hAnsi="Times New Roman" w:cs="Times New Roman"/>
          <w:b/>
          <w:bCs/>
          <w:color w:val="222222"/>
          <w:sz w:val="22"/>
          <w:szCs w:val="22"/>
          <w:lang w:val="en-US"/>
        </w:rPr>
        <w:t>RESUMEN</w:t>
      </w:r>
    </w:p>
    <w:p w14:paraId="289C65C0" w14:textId="2DB0D39F" w:rsidR="00746F27" w:rsidRPr="000F4C71" w:rsidRDefault="00746F27" w:rsidP="00746F27">
      <w:pPr>
        <w:spacing w:after="120"/>
        <w:jc w:val="both"/>
        <w:rPr>
          <w:rFonts w:ascii="Times New Roman" w:hAnsi="Times New Roman" w:cs="Times New Roman"/>
          <w:color w:val="222222"/>
          <w:sz w:val="22"/>
          <w:szCs w:val="22"/>
          <w:lang w:val="es-419"/>
        </w:rPr>
      </w:pPr>
      <w:r w:rsidRPr="000F4C71">
        <w:rPr>
          <w:rFonts w:ascii="Times New Roman" w:hAnsi="Times New Roman" w:cs="Times New Roman"/>
          <w:color w:val="222222"/>
          <w:sz w:val="22"/>
          <w:szCs w:val="22"/>
          <w:lang w:val="es-419"/>
        </w:rPr>
        <w:t xml:space="preserve">La introducción de normas internacionales de contabilidad en el Brasil se </w:t>
      </w:r>
      <w:r w:rsidR="00F2675C" w:rsidRPr="000F4C71">
        <w:rPr>
          <w:rFonts w:ascii="Times New Roman" w:hAnsi="Times New Roman" w:cs="Times New Roman"/>
          <w:color w:val="222222"/>
          <w:sz w:val="22"/>
          <w:szCs w:val="22"/>
          <w:lang w:val="es-419"/>
        </w:rPr>
        <w:t>ha hecho</w:t>
      </w:r>
      <w:r w:rsidRPr="000F4C71">
        <w:rPr>
          <w:rFonts w:ascii="Times New Roman" w:hAnsi="Times New Roman" w:cs="Times New Roman"/>
          <w:color w:val="222222"/>
          <w:sz w:val="22"/>
          <w:szCs w:val="22"/>
          <w:lang w:val="es-419"/>
        </w:rPr>
        <w:t xml:space="preserve"> con el compromiso, expresado en ley, con la neutralidad fiscal. El presente estudio tiene por objeto observar si este compromiso fue </w:t>
      </w:r>
      <w:r w:rsidR="007F0998" w:rsidRPr="000F4C71">
        <w:rPr>
          <w:rFonts w:ascii="Times New Roman" w:hAnsi="Times New Roman" w:cs="Times New Roman"/>
          <w:color w:val="222222"/>
          <w:sz w:val="22"/>
          <w:szCs w:val="22"/>
          <w:lang w:val="es-419"/>
        </w:rPr>
        <w:t>cumplido</w:t>
      </w:r>
      <w:r w:rsidRPr="000F4C71">
        <w:rPr>
          <w:rFonts w:ascii="Times New Roman" w:hAnsi="Times New Roman" w:cs="Times New Roman"/>
          <w:color w:val="222222"/>
          <w:sz w:val="22"/>
          <w:szCs w:val="22"/>
          <w:lang w:val="es-419"/>
        </w:rPr>
        <w:t xml:space="preserve"> en la práctica, comparando la </w:t>
      </w:r>
      <w:r w:rsidR="00C6055F" w:rsidRPr="000F4C71">
        <w:rPr>
          <w:rFonts w:ascii="Times New Roman" w:hAnsi="Times New Roman" w:cs="Times New Roman"/>
          <w:color w:val="222222"/>
          <w:sz w:val="22"/>
          <w:szCs w:val="22"/>
          <w:lang w:val="es-419"/>
        </w:rPr>
        <w:t>tasa impositiva efectiva</w:t>
      </w:r>
      <w:r w:rsidRPr="000F4C71">
        <w:rPr>
          <w:rFonts w:ascii="Times New Roman" w:hAnsi="Times New Roman" w:cs="Times New Roman"/>
          <w:color w:val="222222"/>
          <w:sz w:val="22"/>
          <w:szCs w:val="22"/>
          <w:lang w:val="es-419"/>
        </w:rPr>
        <w:t xml:space="preserve"> </w:t>
      </w:r>
      <w:r w:rsidR="00C6055F" w:rsidRPr="00F83A22">
        <w:rPr>
          <w:rFonts w:ascii="Times New Roman" w:hAnsi="Times New Roman" w:cs="Times New Roman"/>
          <w:sz w:val="22"/>
          <w:szCs w:val="22"/>
          <w:lang w:val="es-419"/>
        </w:rPr>
        <w:t>(</w:t>
      </w:r>
      <w:proofErr w:type="spellStart"/>
      <w:r w:rsidR="00C6055F" w:rsidRPr="00F83A22">
        <w:rPr>
          <w:rFonts w:ascii="Times New Roman" w:hAnsi="Times New Roman" w:cs="Times New Roman"/>
          <w:sz w:val="22"/>
          <w:szCs w:val="22"/>
          <w:lang w:val="es-419"/>
        </w:rPr>
        <w:t>effective</w:t>
      </w:r>
      <w:proofErr w:type="spellEnd"/>
      <w:r w:rsidR="00C6055F" w:rsidRPr="00F83A22">
        <w:rPr>
          <w:rFonts w:ascii="Times New Roman" w:hAnsi="Times New Roman" w:cs="Times New Roman"/>
          <w:sz w:val="22"/>
          <w:szCs w:val="22"/>
          <w:lang w:val="es-419"/>
        </w:rPr>
        <w:t xml:space="preserve"> </w:t>
      </w:r>
      <w:proofErr w:type="spellStart"/>
      <w:r w:rsidR="00C6055F" w:rsidRPr="00F83A22">
        <w:rPr>
          <w:rFonts w:ascii="Times New Roman" w:hAnsi="Times New Roman" w:cs="Times New Roman"/>
          <w:sz w:val="22"/>
          <w:szCs w:val="22"/>
          <w:lang w:val="es-419"/>
        </w:rPr>
        <w:t>tax</w:t>
      </w:r>
      <w:proofErr w:type="spellEnd"/>
      <w:r w:rsidR="00C6055F" w:rsidRPr="00F83A22">
        <w:rPr>
          <w:rFonts w:ascii="Times New Roman" w:hAnsi="Times New Roman" w:cs="Times New Roman"/>
          <w:sz w:val="22"/>
          <w:szCs w:val="22"/>
          <w:lang w:val="es-419"/>
        </w:rPr>
        <w:t xml:space="preserve"> </w:t>
      </w:r>
      <w:proofErr w:type="spellStart"/>
      <w:r w:rsidR="00C6055F" w:rsidRPr="00F83A22">
        <w:rPr>
          <w:rFonts w:ascii="Times New Roman" w:hAnsi="Times New Roman" w:cs="Times New Roman"/>
          <w:sz w:val="22"/>
          <w:szCs w:val="22"/>
          <w:lang w:val="es-419"/>
        </w:rPr>
        <w:t>rate</w:t>
      </w:r>
      <w:proofErr w:type="spellEnd"/>
      <w:r w:rsidR="00C6055F" w:rsidRPr="00F83A22">
        <w:rPr>
          <w:rFonts w:ascii="Times New Roman" w:hAnsi="Times New Roman" w:cs="Times New Roman"/>
          <w:sz w:val="22"/>
          <w:szCs w:val="22"/>
          <w:lang w:val="es-419"/>
        </w:rPr>
        <w:t xml:space="preserve"> – ETR) </w:t>
      </w:r>
      <w:r w:rsidRPr="000F4C71">
        <w:rPr>
          <w:rFonts w:ascii="Times New Roman" w:hAnsi="Times New Roman" w:cs="Times New Roman"/>
          <w:color w:val="222222"/>
          <w:sz w:val="22"/>
          <w:szCs w:val="22"/>
          <w:lang w:val="es-419"/>
        </w:rPr>
        <w:t>de los impuestos sobre los beneficios en los períodos de 2010 a 2014, en los que estaba en vigor el</w:t>
      </w:r>
      <w:r w:rsidR="0041278D" w:rsidRPr="000F4C71">
        <w:rPr>
          <w:rFonts w:ascii="Times New Roman" w:hAnsi="Times New Roman" w:cs="Times New Roman"/>
          <w:color w:val="222222"/>
          <w:sz w:val="22"/>
          <w:szCs w:val="22"/>
          <w:lang w:val="es-419"/>
        </w:rPr>
        <w:t xml:space="preserve"> régimen fiscal transitorio llamado</w:t>
      </w:r>
      <w:r w:rsidRPr="000F4C71">
        <w:rPr>
          <w:rFonts w:ascii="Times New Roman" w:hAnsi="Times New Roman" w:cs="Times New Roman"/>
          <w:color w:val="222222"/>
          <w:sz w:val="22"/>
          <w:szCs w:val="22"/>
          <w:lang w:val="es-419"/>
        </w:rPr>
        <w:t xml:space="preserve"> </w:t>
      </w:r>
      <w:proofErr w:type="spellStart"/>
      <w:r w:rsidR="00C6055F" w:rsidRPr="000F4C71">
        <w:rPr>
          <w:rFonts w:ascii="Times New Roman" w:hAnsi="Times New Roman" w:cs="Times New Roman"/>
          <w:color w:val="222222"/>
          <w:sz w:val="22"/>
          <w:szCs w:val="22"/>
          <w:lang w:val="es-419"/>
        </w:rPr>
        <w:t>Regime</w:t>
      </w:r>
      <w:proofErr w:type="spellEnd"/>
      <w:r w:rsidR="00C6055F" w:rsidRPr="000F4C71">
        <w:rPr>
          <w:rFonts w:ascii="Times New Roman" w:hAnsi="Times New Roman" w:cs="Times New Roman"/>
          <w:color w:val="222222"/>
          <w:sz w:val="22"/>
          <w:szCs w:val="22"/>
          <w:lang w:val="es-419"/>
        </w:rPr>
        <w:t xml:space="preserve"> </w:t>
      </w:r>
      <w:proofErr w:type="spellStart"/>
      <w:r w:rsidR="005C6CD0" w:rsidRPr="000F4C71">
        <w:rPr>
          <w:rFonts w:ascii="Times New Roman" w:hAnsi="Times New Roman" w:cs="Times New Roman"/>
          <w:color w:val="222222"/>
          <w:sz w:val="22"/>
          <w:szCs w:val="22"/>
          <w:lang w:val="es-419"/>
        </w:rPr>
        <w:t>Tributário</w:t>
      </w:r>
      <w:proofErr w:type="spellEnd"/>
      <w:r w:rsidR="00C6055F" w:rsidRPr="000F4C71">
        <w:rPr>
          <w:rFonts w:ascii="Times New Roman" w:hAnsi="Times New Roman" w:cs="Times New Roman"/>
          <w:color w:val="222222"/>
          <w:sz w:val="22"/>
          <w:szCs w:val="22"/>
          <w:lang w:val="es-419"/>
        </w:rPr>
        <w:t xml:space="preserve"> de </w:t>
      </w:r>
      <w:proofErr w:type="spellStart"/>
      <w:r w:rsidR="00C6055F" w:rsidRPr="000F4C71">
        <w:rPr>
          <w:rFonts w:ascii="Times New Roman" w:hAnsi="Times New Roman" w:cs="Times New Roman"/>
          <w:color w:val="222222"/>
          <w:sz w:val="22"/>
          <w:szCs w:val="22"/>
          <w:lang w:val="es-419"/>
        </w:rPr>
        <w:t>Transição</w:t>
      </w:r>
      <w:proofErr w:type="spellEnd"/>
      <w:r w:rsidRPr="000F4C71">
        <w:rPr>
          <w:rFonts w:ascii="Times New Roman" w:hAnsi="Times New Roman" w:cs="Times New Roman"/>
          <w:color w:val="222222"/>
          <w:sz w:val="22"/>
          <w:szCs w:val="22"/>
          <w:lang w:val="es-419"/>
        </w:rPr>
        <w:t xml:space="preserve"> (RTT), y de 2015 a 2019, ya en presencia de</w:t>
      </w:r>
      <w:r w:rsidR="007F0998" w:rsidRPr="000F4C71">
        <w:rPr>
          <w:rFonts w:ascii="Times New Roman" w:hAnsi="Times New Roman" w:cs="Times New Roman"/>
          <w:color w:val="222222"/>
          <w:sz w:val="22"/>
          <w:szCs w:val="22"/>
          <w:lang w:val="es-419"/>
        </w:rPr>
        <w:t xml:space="preserve"> las</w:t>
      </w:r>
      <w:r w:rsidRPr="000F4C71">
        <w:rPr>
          <w:rFonts w:ascii="Times New Roman" w:hAnsi="Times New Roman" w:cs="Times New Roman"/>
          <w:color w:val="222222"/>
          <w:sz w:val="22"/>
          <w:szCs w:val="22"/>
          <w:lang w:val="es-419"/>
        </w:rPr>
        <w:t xml:space="preserve"> normas fiscales </w:t>
      </w:r>
      <w:r w:rsidR="007F0998" w:rsidRPr="000F4C71">
        <w:rPr>
          <w:rFonts w:ascii="Times New Roman" w:hAnsi="Times New Roman" w:cs="Times New Roman"/>
          <w:color w:val="222222"/>
          <w:sz w:val="22"/>
          <w:szCs w:val="22"/>
          <w:lang w:val="es-419"/>
        </w:rPr>
        <w:t>actuales</w:t>
      </w:r>
      <w:r w:rsidRPr="000F4C71">
        <w:rPr>
          <w:rFonts w:ascii="Times New Roman" w:hAnsi="Times New Roman" w:cs="Times New Roman"/>
          <w:color w:val="222222"/>
          <w:sz w:val="22"/>
          <w:szCs w:val="22"/>
          <w:lang w:val="es-419"/>
        </w:rPr>
        <w:t xml:space="preserve">, establecidas por la Ley No 12.973, de 13 de mayo de 2014. El trabajo se basó en datos de corporaciones que cotizan en bolsa disponibles en el sitio web de la </w:t>
      </w:r>
      <w:proofErr w:type="spellStart"/>
      <w:r w:rsidR="00C6055F" w:rsidRPr="000F4C71">
        <w:rPr>
          <w:rFonts w:ascii="Times New Roman" w:hAnsi="Times New Roman" w:cs="Times New Roman"/>
          <w:color w:val="222222"/>
          <w:sz w:val="22"/>
          <w:szCs w:val="22"/>
          <w:lang w:val="es-419"/>
        </w:rPr>
        <w:t>Comissão</w:t>
      </w:r>
      <w:proofErr w:type="spellEnd"/>
      <w:r w:rsidR="00C6055F" w:rsidRPr="000F4C71">
        <w:rPr>
          <w:rFonts w:ascii="Times New Roman" w:hAnsi="Times New Roman" w:cs="Times New Roman"/>
          <w:color w:val="222222"/>
          <w:sz w:val="22"/>
          <w:szCs w:val="22"/>
          <w:lang w:val="es-419"/>
        </w:rPr>
        <w:t xml:space="preserve"> d</w:t>
      </w:r>
      <w:r w:rsidR="005C6CD0" w:rsidRPr="000F4C71">
        <w:rPr>
          <w:rFonts w:ascii="Times New Roman" w:hAnsi="Times New Roman" w:cs="Times New Roman"/>
          <w:color w:val="222222"/>
          <w:sz w:val="22"/>
          <w:szCs w:val="22"/>
          <w:lang w:val="es-419"/>
        </w:rPr>
        <w:t>e</w:t>
      </w:r>
      <w:r w:rsidR="00C6055F" w:rsidRPr="000F4C71">
        <w:rPr>
          <w:rFonts w:ascii="Times New Roman" w:hAnsi="Times New Roman" w:cs="Times New Roman"/>
          <w:color w:val="222222"/>
          <w:sz w:val="22"/>
          <w:szCs w:val="22"/>
          <w:lang w:val="es-419"/>
        </w:rPr>
        <w:t xml:space="preserve"> Valores </w:t>
      </w:r>
      <w:proofErr w:type="spellStart"/>
      <w:r w:rsidR="00C6055F" w:rsidRPr="000F4C71">
        <w:rPr>
          <w:rFonts w:ascii="Times New Roman" w:hAnsi="Times New Roman" w:cs="Times New Roman"/>
          <w:color w:val="222222"/>
          <w:sz w:val="22"/>
          <w:szCs w:val="22"/>
          <w:lang w:val="es-419"/>
        </w:rPr>
        <w:t>Mobiliários</w:t>
      </w:r>
      <w:proofErr w:type="spellEnd"/>
      <w:r w:rsidR="005C6CD0" w:rsidRPr="000F4C71">
        <w:rPr>
          <w:rFonts w:ascii="Times New Roman" w:hAnsi="Times New Roman" w:cs="Times New Roman"/>
          <w:color w:val="222222"/>
          <w:sz w:val="22"/>
          <w:szCs w:val="22"/>
          <w:lang w:val="es-419"/>
        </w:rPr>
        <w:t xml:space="preserve"> </w:t>
      </w:r>
      <w:r w:rsidR="00045DAB" w:rsidRPr="000F4C71">
        <w:rPr>
          <w:rFonts w:ascii="Times New Roman" w:hAnsi="Times New Roman" w:cs="Times New Roman"/>
          <w:color w:val="222222"/>
          <w:sz w:val="22"/>
          <w:szCs w:val="22"/>
          <w:lang w:val="es-419"/>
        </w:rPr>
        <w:t>brasileña</w:t>
      </w:r>
      <w:r w:rsidRPr="000F4C71">
        <w:rPr>
          <w:rFonts w:ascii="Times New Roman" w:hAnsi="Times New Roman" w:cs="Times New Roman"/>
          <w:color w:val="222222"/>
          <w:sz w:val="22"/>
          <w:szCs w:val="22"/>
          <w:lang w:val="es-419"/>
        </w:rPr>
        <w:t xml:space="preserve">, agrupados por sectores de actividad económica. En el análisis estadístico, se utilizó el software SPSS y se aplicaron las pruebas </w:t>
      </w:r>
      <w:proofErr w:type="spellStart"/>
      <w:r w:rsidRPr="000F4C71">
        <w:rPr>
          <w:rFonts w:ascii="Times New Roman" w:hAnsi="Times New Roman" w:cs="Times New Roman"/>
          <w:color w:val="222222"/>
          <w:sz w:val="22"/>
          <w:szCs w:val="22"/>
          <w:lang w:val="es-419"/>
        </w:rPr>
        <w:t>Kolmogorov-Smirnov</w:t>
      </w:r>
      <w:proofErr w:type="spellEnd"/>
      <w:r w:rsidRPr="000F4C71">
        <w:rPr>
          <w:rFonts w:ascii="Times New Roman" w:hAnsi="Times New Roman" w:cs="Times New Roman"/>
          <w:color w:val="222222"/>
          <w:sz w:val="22"/>
          <w:szCs w:val="22"/>
          <w:lang w:val="es-419"/>
        </w:rPr>
        <w:t xml:space="preserve"> y Wilcoxon. El resultado </w:t>
      </w:r>
      <w:r w:rsidR="00B21C65">
        <w:rPr>
          <w:rFonts w:ascii="Times New Roman" w:hAnsi="Times New Roman" w:cs="Times New Roman"/>
          <w:color w:val="222222"/>
          <w:sz w:val="22"/>
          <w:szCs w:val="22"/>
          <w:lang w:val="es-419"/>
        </w:rPr>
        <w:t>ha indicado</w:t>
      </w:r>
      <w:r w:rsidRPr="000F4C71">
        <w:rPr>
          <w:rFonts w:ascii="Times New Roman" w:hAnsi="Times New Roman" w:cs="Times New Roman"/>
          <w:color w:val="222222"/>
          <w:sz w:val="22"/>
          <w:szCs w:val="22"/>
          <w:lang w:val="es-419"/>
        </w:rPr>
        <w:t xml:space="preserve"> que no hubo un cambio estadísticamente significativo en los tipos impositivos efectivos para las empresas de los sectores del comercio, la industria, los servicios y la explotación inmobiliaria. Sin embargo, en el sector financiero se ha </w:t>
      </w:r>
      <w:r w:rsidR="00B21C65">
        <w:rPr>
          <w:rFonts w:ascii="Times New Roman" w:hAnsi="Times New Roman" w:cs="Times New Roman"/>
          <w:color w:val="222222"/>
          <w:sz w:val="22"/>
          <w:szCs w:val="22"/>
          <w:lang w:val="es-419"/>
        </w:rPr>
        <w:t>observado</w:t>
      </w:r>
      <w:r w:rsidRPr="000F4C71">
        <w:rPr>
          <w:rFonts w:ascii="Times New Roman" w:hAnsi="Times New Roman" w:cs="Times New Roman"/>
          <w:color w:val="222222"/>
          <w:sz w:val="22"/>
          <w:szCs w:val="22"/>
          <w:lang w:val="es-419"/>
        </w:rPr>
        <w:t xml:space="preserve"> una reducción estadísticamente significativa de los tipos impositivos efectivos, a pesar de que se ha aumentado el tipo impositivo nominal de los impuestos aplicados a los beneficios de las empresas de este sector, lo que indica la necesidad de profundizar la investigación para identificar la causa de este resultado </w:t>
      </w:r>
      <w:r w:rsidR="006D761E" w:rsidRPr="000F4C71">
        <w:rPr>
          <w:rFonts w:ascii="Times New Roman" w:hAnsi="Times New Roman" w:cs="Times New Roman"/>
          <w:color w:val="222222"/>
          <w:sz w:val="22"/>
          <w:szCs w:val="22"/>
          <w:lang w:val="es-419"/>
        </w:rPr>
        <w:t>divergente</w:t>
      </w:r>
      <w:r w:rsidRPr="000F4C71">
        <w:rPr>
          <w:rFonts w:ascii="Times New Roman" w:hAnsi="Times New Roman" w:cs="Times New Roman"/>
          <w:color w:val="222222"/>
          <w:sz w:val="22"/>
          <w:szCs w:val="22"/>
          <w:lang w:val="es-419"/>
        </w:rPr>
        <w:t>.</w:t>
      </w:r>
    </w:p>
    <w:p w14:paraId="59117EEA" w14:textId="380E9EDA" w:rsidR="00746F27" w:rsidRPr="000F4C71" w:rsidRDefault="00746F27" w:rsidP="00746F27">
      <w:pPr>
        <w:spacing w:after="120"/>
        <w:jc w:val="both"/>
        <w:rPr>
          <w:rFonts w:ascii="Times New Roman" w:hAnsi="Times New Roman" w:cs="Times New Roman"/>
          <w:color w:val="222222"/>
          <w:sz w:val="22"/>
          <w:szCs w:val="22"/>
          <w:lang w:val="en-US"/>
        </w:rPr>
      </w:pPr>
      <w:r w:rsidRPr="000F4C71">
        <w:rPr>
          <w:rFonts w:ascii="Times New Roman" w:hAnsi="Times New Roman" w:cs="Times New Roman" w:hint="eastAsia"/>
          <w:b/>
          <w:bCs/>
          <w:color w:val="222222"/>
          <w:sz w:val="22"/>
          <w:szCs w:val="22"/>
          <w:lang w:val="en-US"/>
        </w:rPr>
        <w:t>Palabras clave</w:t>
      </w:r>
      <w:r w:rsidRPr="000F4C71">
        <w:rPr>
          <w:rFonts w:ascii="Times New Roman" w:hAnsi="Times New Roman" w:cs="Times New Roman" w:hint="eastAsia"/>
          <w:color w:val="222222"/>
          <w:sz w:val="22"/>
          <w:szCs w:val="22"/>
          <w:lang w:val="en-US"/>
        </w:rPr>
        <w:t xml:space="preserve">: </w:t>
      </w:r>
      <w:r w:rsidR="00C6055F" w:rsidRPr="000F4C71">
        <w:rPr>
          <w:rFonts w:ascii="Times New Roman" w:hAnsi="Times New Roman" w:cs="Times New Roman"/>
          <w:color w:val="222222"/>
          <w:sz w:val="22"/>
          <w:szCs w:val="22"/>
          <w:lang w:val="en-US"/>
        </w:rPr>
        <w:t xml:space="preserve">Tasa </w:t>
      </w:r>
      <w:proofErr w:type="spellStart"/>
      <w:r w:rsidR="00C6055F" w:rsidRPr="000F4C71">
        <w:rPr>
          <w:rFonts w:ascii="Times New Roman" w:hAnsi="Times New Roman" w:cs="Times New Roman"/>
          <w:color w:val="222222"/>
          <w:sz w:val="22"/>
          <w:szCs w:val="22"/>
          <w:lang w:val="en-US"/>
        </w:rPr>
        <w:t>impositiva</w:t>
      </w:r>
      <w:proofErr w:type="spellEnd"/>
      <w:r w:rsidR="00C6055F" w:rsidRPr="000F4C71">
        <w:rPr>
          <w:rFonts w:ascii="Times New Roman" w:hAnsi="Times New Roman" w:cs="Times New Roman"/>
          <w:color w:val="222222"/>
          <w:sz w:val="22"/>
          <w:szCs w:val="22"/>
          <w:lang w:val="en-US"/>
        </w:rPr>
        <w:t xml:space="preserve"> </w:t>
      </w:r>
      <w:proofErr w:type="spellStart"/>
      <w:r w:rsidR="00C6055F" w:rsidRPr="000F4C71">
        <w:rPr>
          <w:rFonts w:ascii="Times New Roman" w:hAnsi="Times New Roman" w:cs="Times New Roman"/>
          <w:color w:val="222222"/>
          <w:sz w:val="22"/>
          <w:szCs w:val="22"/>
          <w:lang w:val="en-US"/>
        </w:rPr>
        <w:t>efectiva</w:t>
      </w:r>
      <w:proofErr w:type="spellEnd"/>
      <w:r w:rsidRPr="000F4C71">
        <w:rPr>
          <w:rFonts w:ascii="Times New Roman" w:hAnsi="Times New Roman" w:cs="Times New Roman" w:hint="eastAsia"/>
          <w:color w:val="222222"/>
          <w:sz w:val="22"/>
          <w:szCs w:val="22"/>
          <w:lang w:val="en-US"/>
        </w:rPr>
        <w:t xml:space="preserve">. Tasa </w:t>
      </w:r>
      <w:proofErr w:type="spellStart"/>
      <w:r w:rsidRPr="000F4C71">
        <w:rPr>
          <w:rFonts w:ascii="Times New Roman" w:hAnsi="Times New Roman" w:cs="Times New Roman" w:hint="eastAsia"/>
          <w:color w:val="222222"/>
          <w:sz w:val="22"/>
          <w:szCs w:val="22"/>
          <w:lang w:val="en-US"/>
        </w:rPr>
        <w:t>impositiva</w:t>
      </w:r>
      <w:proofErr w:type="spellEnd"/>
      <w:r w:rsidRPr="000F4C71">
        <w:rPr>
          <w:rFonts w:ascii="Times New Roman" w:hAnsi="Times New Roman" w:cs="Times New Roman" w:hint="eastAsia"/>
          <w:color w:val="222222"/>
          <w:sz w:val="22"/>
          <w:szCs w:val="22"/>
          <w:lang w:val="en-US"/>
        </w:rPr>
        <w:t xml:space="preserve"> </w:t>
      </w:r>
      <w:proofErr w:type="spellStart"/>
      <w:r w:rsidRPr="000F4C71">
        <w:rPr>
          <w:rFonts w:ascii="Times New Roman" w:hAnsi="Times New Roman" w:cs="Times New Roman" w:hint="eastAsia"/>
          <w:color w:val="222222"/>
          <w:sz w:val="22"/>
          <w:szCs w:val="22"/>
          <w:lang w:val="en-US"/>
        </w:rPr>
        <w:t>efectiva</w:t>
      </w:r>
      <w:proofErr w:type="spellEnd"/>
      <w:r w:rsidRPr="000F4C71">
        <w:rPr>
          <w:rFonts w:ascii="Times New Roman" w:hAnsi="Times New Roman" w:cs="Times New Roman" w:hint="eastAsia"/>
          <w:color w:val="222222"/>
          <w:sz w:val="22"/>
          <w:szCs w:val="22"/>
          <w:lang w:val="en-US"/>
        </w:rPr>
        <w:t xml:space="preserve"> a largo </w:t>
      </w:r>
      <w:proofErr w:type="spellStart"/>
      <w:r w:rsidRPr="000F4C71">
        <w:rPr>
          <w:rFonts w:ascii="Times New Roman" w:hAnsi="Times New Roman" w:cs="Times New Roman" w:hint="eastAsia"/>
          <w:color w:val="222222"/>
          <w:sz w:val="22"/>
          <w:szCs w:val="22"/>
          <w:lang w:val="en-US"/>
        </w:rPr>
        <w:t>plazo</w:t>
      </w:r>
      <w:proofErr w:type="spellEnd"/>
      <w:r w:rsidRPr="000F4C71">
        <w:rPr>
          <w:rFonts w:ascii="Times New Roman" w:hAnsi="Times New Roman" w:cs="Times New Roman" w:hint="eastAsia"/>
          <w:color w:val="222222"/>
          <w:sz w:val="22"/>
          <w:szCs w:val="22"/>
          <w:lang w:val="en-US"/>
        </w:rPr>
        <w:t xml:space="preserve">. Ley No 12.973 de 13 de mayo de 2014. </w:t>
      </w:r>
      <w:r w:rsidR="00C6055F" w:rsidRPr="000F4C71">
        <w:rPr>
          <w:rFonts w:ascii="Times New Roman" w:hAnsi="Times New Roman" w:cs="Times New Roman"/>
          <w:color w:val="222222"/>
          <w:sz w:val="22"/>
          <w:szCs w:val="22"/>
          <w:lang w:val="en-US"/>
        </w:rPr>
        <w:t xml:space="preserve">Regime </w:t>
      </w:r>
      <w:proofErr w:type="spellStart"/>
      <w:r w:rsidR="00C6055F" w:rsidRPr="000F4C71">
        <w:rPr>
          <w:rFonts w:ascii="Times New Roman" w:hAnsi="Times New Roman" w:cs="Times New Roman"/>
          <w:color w:val="222222"/>
          <w:sz w:val="22"/>
          <w:szCs w:val="22"/>
          <w:lang w:val="en-US"/>
        </w:rPr>
        <w:t>Tributário</w:t>
      </w:r>
      <w:proofErr w:type="spellEnd"/>
      <w:r w:rsidR="00C6055F" w:rsidRPr="000F4C71">
        <w:rPr>
          <w:rFonts w:ascii="Times New Roman" w:hAnsi="Times New Roman" w:cs="Times New Roman"/>
          <w:color w:val="222222"/>
          <w:sz w:val="22"/>
          <w:szCs w:val="22"/>
          <w:lang w:val="en-US"/>
        </w:rPr>
        <w:t xml:space="preserve"> de </w:t>
      </w:r>
      <w:proofErr w:type="spellStart"/>
      <w:r w:rsidR="00C6055F" w:rsidRPr="000F4C71">
        <w:rPr>
          <w:rFonts w:ascii="Times New Roman" w:hAnsi="Times New Roman" w:cs="Times New Roman"/>
          <w:color w:val="222222"/>
          <w:sz w:val="22"/>
          <w:szCs w:val="22"/>
          <w:lang w:val="en-US"/>
        </w:rPr>
        <w:t>Transição</w:t>
      </w:r>
      <w:proofErr w:type="spellEnd"/>
      <w:r w:rsidRPr="000F4C71">
        <w:rPr>
          <w:rFonts w:ascii="Times New Roman" w:hAnsi="Times New Roman" w:cs="Times New Roman" w:hint="eastAsia"/>
          <w:color w:val="222222"/>
          <w:sz w:val="22"/>
          <w:szCs w:val="22"/>
          <w:lang w:val="en-US"/>
        </w:rPr>
        <w:t xml:space="preserve"> - RTT.</w:t>
      </w:r>
    </w:p>
    <w:p w14:paraId="60AD6306" w14:textId="3CF92C60" w:rsidR="005C6CD0" w:rsidRDefault="005C6CD0" w:rsidP="009862D6">
      <w:pPr>
        <w:spacing w:after="120"/>
        <w:jc w:val="both"/>
        <w:rPr>
          <w:rFonts w:ascii="Times New Roman" w:hAnsi="Times New Roman" w:cs="Times New Roman"/>
          <w:b/>
          <w:bCs/>
        </w:rPr>
      </w:pPr>
    </w:p>
    <w:p w14:paraId="3E282130" w14:textId="77777777" w:rsidR="000F4C71" w:rsidRDefault="000F4C71" w:rsidP="009862D6">
      <w:pPr>
        <w:spacing w:after="120"/>
        <w:jc w:val="both"/>
        <w:rPr>
          <w:rFonts w:ascii="Times New Roman" w:hAnsi="Times New Roman" w:cs="Times New Roman"/>
          <w:b/>
          <w:bCs/>
        </w:rPr>
      </w:pPr>
    </w:p>
    <w:p w14:paraId="2B7C3BAD" w14:textId="31921017" w:rsidR="00073A36" w:rsidRDefault="00073A36" w:rsidP="000F4C71">
      <w:pPr>
        <w:spacing w:after="120"/>
        <w:jc w:val="both"/>
        <w:rPr>
          <w:rFonts w:ascii="Times New Roman" w:hAnsi="Times New Roman" w:cs="Times New Roman"/>
          <w:b/>
          <w:bCs/>
        </w:rPr>
      </w:pPr>
      <w:r w:rsidRPr="006004A3">
        <w:rPr>
          <w:rFonts w:ascii="Times New Roman" w:hAnsi="Times New Roman" w:cs="Times New Roman"/>
          <w:b/>
          <w:bCs/>
        </w:rPr>
        <w:t>1 INTRODUÇÃO</w:t>
      </w:r>
    </w:p>
    <w:p w14:paraId="4B800FC2" w14:textId="77777777" w:rsidR="00D8273B" w:rsidRDefault="00D8273B" w:rsidP="000F4C71">
      <w:pPr>
        <w:spacing w:after="120"/>
        <w:jc w:val="both"/>
        <w:rPr>
          <w:rFonts w:ascii="Times New Roman" w:hAnsi="Times New Roman" w:cs="Times New Roman"/>
          <w:b/>
          <w:bCs/>
        </w:rPr>
      </w:pPr>
    </w:p>
    <w:p w14:paraId="580A13F8" w14:textId="63007ED2" w:rsidR="00B1693B" w:rsidRPr="001A232D" w:rsidRDefault="00617C8A" w:rsidP="001D0599">
      <w:pPr>
        <w:spacing w:after="120"/>
        <w:ind w:firstLine="709"/>
        <w:jc w:val="both"/>
        <w:rPr>
          <w:rFonts w:ascii="Times New Roman" w:hAnsi="Times New Roman" w:cs="Times New Roman"/>
        </w:rPr>
      </w:pPr>
      <w:r w:rsidRPr="001A232D">
        <w:rPr>
          <w:rFonts w:ascii="Times New Roman" w:hAnsi="Times New Roman" w:cs="Times New Roman"/>
        </w:rPr>
        <w:t xml:space="preserve">Os padrões internacionais de contabilidade estabelecidos pelo </w:t>
      </w:r>
      <w:proofErr w:type="spellStart"/>
      <w:r w:rsidRPr="00D257A4">
        <w:rPr>
          <w:rFonts w:ascii="Times New Roman" w:hAnsi="Times New Roman" w:cs="Times New Roman"/>
          <w:i/>
          <w:iCs/>
        </w:rPr>
        <w:t>International</w:t>
      </w:r>
      <w:proofErr w:type="spellEnd"/>
      <w:r w:rsidRPr="00D257A4">
        <w:rPr>
          <w:rFonts w:ascii="Times New Roman" w:hAnsi="Times New Roman" w:cs="Times New Roman"/>
          <w:i/>
          <w:iCs/>
        </w:rPr>
        <w:t xml:space="preserve"> </w:t>
      </w:r>
      <w:proofErr w:type="spellStart"/>
      <w:r w:rsidRPr="00D257A4">
        <w:rPr>
          <w:rFonts w:ascii="Times New Roman" w:hAnsi="Times New Roman" w:cs="Times New Roman"/>
          <w:i/>
          <w:iCs/>
        </w:rPr>
        <w:t>Accounting</w:t>
      </w:r>
      <w:proofErr w:type="spellEnd"/>
      <w:r w:rsidRPr="00D257A4">
        <w:rPr>
          <w:rFonts w:ascii="Times New Roman" w:hAnsi="Times New Roman" w:cs="Times New Roman"/>
          <w:i/>
          <w:iCs/>
        </w:rPr>
        <w:t xml:space="preserve"> Standards Board</w:t>
      </w:r>
      <w:r w:rsidRPr="001A232D">
        <w:rPr>
          <w:rFonts w:ascii="Times New Roman" w:hAnsi="Times New Roman" w:cs="Times New Roman"/>
        </w:rPr>
        <w:t xml:space="preserve"> - </w:t>
      </w:r>
      <w:r w:rsidRPr="00D257A4">
        <w:rPr>
          <w:rFonts w:ascii="Times New Roman" w:hAnsi="Times New Roman" w:cs="Times New Roman"/>
          <w:i/>
          <w:iCs/>
        </w:rPr>
        <w:t>IASB</w:t>
      </w:r>
      <w:r w:rsidRPr="001A232D">
        <w:rPr>
          <w:rFonts w:ascii="Times New Roman" w:hAnsi="Times New Roman" w:cs="Times New Roman"/>
        </w:rPr>
        <w:t xml:space="preserve"> por meio dos </w:t>
      </w:r>
      <w:proofErr w:type="spellStart"/>
      <w:r w:rsidRPr="00D257A4">
        <w:rPr>
          <w:rFonts w:ascii="Times New Roman" w:hAnsi="Times New Roman" w:cs="Times New Roman"/>
          <w:i/>
          <w:iCs/>
        </w:rPr>
        <w:t>International</w:t>
      </w:r>
      <w:proofErr w:type="spellEnd"/>
      <w:r w:rsidRPr="00D257A4">
        <w:rPr>
          <w:rFonts w:ascii="Times New Roman" w:hAnsi="Times New Roman" w:cs="Times New Roman"/>
          <w:i/>
          <w:iCs/>
        </w:rPr>
        <w:t xml:space="preserve"> Financial </w:t>
      </w:r>
      <w:proofErr w:type="spellStart"/>
      <w:r w:rsidRPr="00D257A4">
        <w:rPr>
          <w:rFonts w:ascii="Times New Roman" w:hAnsi="Times New Roman" w:cs="Times New Roman"/>
          <w:i/>
          <w:iCs/>
        </w:rPr>
        <w:t>Reporting</w:t>
      </w:r>
      <w:proofErr w:type="spellEnd"/>
      <w:r w:rsidRPr="00D257A4">
        <w:rPr>
          <w:rFonts w:ascii="Times New Roman" w:hAnsi="Times New Roman" w:cs="Times New Roman"/>
          <w:i/>
          <w:iCs/>
        </w:rPr>
        <w:t xml:space="preserve"> Standards</w:t>
      </w:r>
      <w:r w:rsidRPr="001A232D">
        <w:rPr>
          <w:rFonts w:ascii="Times New Roman" w:hAnsi="Times New Roman" w:cs="Times New Roman"/>
        </w:rPr>
        <w:t xml:space="preserve"> – </w:t>
      </w:r>
      <w:r w:rsidRPr="00D257A4">
        <w:rPr>
          <w:rFonts w:ascii="Times New Roman" w:hAnsi="Times New Roman" w:cs="Times New Roman"/>
          <w:i/>
          <w:iCs/>
        </w:rPr>
        <w:t>IFRS</w:t>
      </w:r>
      <w:r w:rsidRPr="001A232D">
        <w:rPr>
          <w:rFonts w:ascii="Times New Roman" w:hAnsi="Times New Roman" w:cs="Times New Roman"/>
        </w:rPr>
        <w:t xml:space="preserve"> foram introduzidos no panorama jurídico-contábil brasileiro com a edição da Lei n</w:t>
      </w:r>
      <w:r w:rsidRPr="001A232D">
        <w:rPr>
          <w:rFonts w:ascii="Times New Roman" w:hAnsi="Times New Roman" w:cs="Times New Roman"/>
          <w:u w:val="single"/>
          <w:vertAlign w:val="superscript"/>
        </w:rPr>
        <w:t>o</w:t>
      </w:r>
      <w:r w:rsidRPr="001A232D">
        <w:rPr>
          <w:rFonts w:ascii="Times New Roman" w:hAnsi="Times New Roman" w:cs="Times New Roman"/>
        </w:rPr>
        <w:t xml:space="preserve"> 11.638</w:t>
      </w:r>
      <w:r w:rsidR="00A21004" w:rsidRPr="001A232D">
        <w:rPr>
          <w:rFonts w:ascii="Times New Roman" w:hAnsi="Times New Roman" w:cs="Times New Roman"/>
        </w:rPr>
        <w:t xml:space="preserve">, de 28 de dezembro de 2007, que alterou disposições contidas no artigo 177 da Lei </w:t>
      </w:r>
      <w:r w:rsidR="00BE4069">
        <w:rPr>
          <w:rFonts w:ascii="Times New Roman" w:hAnsi="Times New Roman" w:cs="Times New Roman"/>
        </w:rPr>
        <w:t xml:space="preserve">nº </w:t>
      </w:r>
      <w:r w:rsidR="00A21004" w:rsidRPr="001A232D">
        <w:rPr>
          <w:rFonts w:ascii="Times New Roman" w:hAnsi="Times New Roman" w:cs="Times New Roman"/>
        </w:rPr>
        <w:t>6</w:t>
      </w:r>
      <w:r w:rsidR="00953050">
        <w:rPr>
          <w:rFonts w:ascii="Times New Roman" w:hAnsi="Times New Roman" w:cs="Times New Roman"/>
        </w:rPr>
        <w:t>.</w:t>
      </w:r>
      <w:r w:rsidR="00A21004" w:rsidRPr="001A232D">
        <w:rPr>
          <w:rFonts w:ascii="Times New Roman" w:hAnsi="Times New Roman" w:cs="Times New Roman"/>
        </w:rPr>
        <w:t>404</w:t>
      </w:r>
      <w:r w:rsidR="009B6610">
        <w:rPr>
          <w:rFonts w:ascii="Times New Roman" w:hAnsi="Times New Roman" w:cs="Times New Roman"/>
        </w:rPr>
        <w:t>, de 15 de dezembro de 1976</w:t>
      </w:r>
      <w:r w:rsidR="00A21004" w:rsidRPr="001A232D">
        <w:rPr>
          <w:rFonts w:ascii="Times New Roman" w:hAnsi="Times New Roman" w:cs="Times New Roman"/>
        </w:rPr>
        <w:t xml:space="preserve"> (Lei das Sociedades por Ações)</w:t>
      </w:r>
      <w:r w:rsidR="005E7AA1" w:rsidRPr="001A232D">
        <w:rPr>
          <w:rFonts w:ascii="Times New Roman" w:hAnsi="Times New Roman" w:cs="Times New Roman"/>
        </w:rPr>
        <w:t>. Assim, ficou estabelecida</w:t>
      </w:r>
      <w:r w:rsidR="00B1693B" w:rsidRPr="001A232D">
        <w:rPr>
          <w:rFonts w:ascii="Times New Roman" w:hAnsi="Times New Roman" w:cs="Times New Roman"/>
        </w:rPr>
        <w:t xml:space="preserve"> no citado artigo 177,</w:t>
      </w:r>
      <w:r w:rsidR="005E7AA1" w:rsidRPr="001A232D">
        <w:rPr>
          <w:rFonts w:ascii="Times New Roman" w:hAnsi="Times New Roman" w:cs="Times New Roman"/>
        </w:rPr>
        <w:t xml:space="preserve"> </w:t>
      </w:r>
      <w:r w:rsidR="00B1693B" w:rsidRPr="001A232D">
        <w:rPr>
          <w:rFonts w:ascii="Times New Roman" w:hAnsi="Times New Roman" w:cs="Times New Roman"/>
        </w:rPr>
        <w:t xml:space="preserve">a obrigatoriedade de que as normas que viessem a ser expedidas pela Comissão de Valores Mobiliários fossem “elaboradas em consonância com os padrões internacionais de contabilidade adotados nos principais mercados de valores mobiliários” (§ 5º), </w:t>
      </w:r>
      <w:r w:rsidR="005E7AA1" w:rsidRPr="001A232D">
        <w:rPr>
          <w:rFonts w:ascii="Times New Roman" w:hAnsi="Times New Roman" w:cs="Times New Roman"/>
        </w:rPr>
        <w:t>desvincula</w:t>
      </w:r>
      <w:r w:rsidR="00B1693B" w:rsidRPr="001A232D">
        <w:rPr>
          <w:rFonts w:ascii="Times New Roman" w:hAnsi="Times New Roman" w:cs="Times New Roman"/>
        </w:rPr>
        <w:t>ndo-se</w:t>
      </w:r>
      <w:r w:rsidR="005E7AA1" w:rsidRPr="001A232D">
        <w:rPr>
          <w:rFonts w:ascii="Times New Roman" w:hAnsi="Times New Roman" w:cs="Times New Roman"/>
        </w:rPr>
        <w:t xml:space="preserve"> da escrituração contábil elaborada para fins societários aquela necessária ao atendimento das exigências da administração tributária (§ 2º</w:t>
      </w:r>
      <w:r w:rsidR="00B1693B" w:rsidRPr="001A232D">
        <w:rPr>
          <w:rFonts w:ascii="Times New Roman" w:hAnsi="Times New Roman" w:cs="Times New Roman"/>
        </w:rPr>
        <w:t>). Estabeleceu-se, ainda, a neutralidade tributária decorrente da adoção das normas internacionais, na medida em que eventuais lançamentos de ajuste necessários à harmonização da contabilidade societária com a contabilidade tributária não poderiam “ser base de incidência de impostos e contribuições nem ter quaisquer outros efeitos tributários” (§ 7º).</w:t>
      </w:r>
      <w:r w:rsidR="00E244A6" w:rsidRPr="001A232D">
        <w:rPr>
          <w:rFonts w:ascii="Times New Roman" w:hAnsi="Times New Roman" w:cs="Times New Roman"/>
        </w:rPr>
        <w:t xml:space="preserve"> Dessa forma, como sintetiza Fernandes (2012</w:t>
      </w:r>
      <w:r w:rsidR="00D8273B">
        <w:rPr>
          <w:rFonts w:ascii="Times New Roman" w:hAnsi="Times New Roman" w:cs="Times New Roman"/>
        </w:rPr>
        <w:t>, p. 132</w:t>
      </w:r>
      <w:r w:rsidR="00E244A6" w:rsidRPr="001A232D">
        <w:rPr>
          <w:rFonts w:ascii="Times New Roman" w:hAnsi="Times New Roman" w:cs="Times New Roman"/>
        </w:rPr>
        <w:t>),</w:t>
      </w:r>
      <w:r w:rsidR="009C0353" w:rsidRPr="001A232D">
        <w:rPr>
          <w:rFonts w:ascii="Times New Roman" w:hAnsi="Times New Roman" w:cs="Times New Roman"/>
        </w:rPr>
        <w:t xml:space="preserve"> </w:t>
      </w:r>
      <w:r w:rsidR="00D8273B">
        <w:rPr>
          <w:rFonts w:ascii="Times New Roman" w:hAnsi="Times New Roman" w:cs="Times New Roman"/>
        </w:rPr>
        <w:t>“</w:t>
      </w:r>
      <w:r w:rsidR="009C0353" w:rsidRPr="00D8273B">
        <w:rPr>
          <w:rFonts w:ascii="Times New Roman" w:hAnsi="Times New Roman" w:cs="Times New Roman"/>
        </w:rPr>
        <w:t xml:space="preserve">restabeleceu-se a distinção entre </w:t>
      </w:r>
      <w:r w:rsidR="00953050" w:rsidRPr="00D8273B">
        <w:rPr>
          <w:rFonts w:ascii="Times New Roman" w:hAnsi="Times New Roman" w:cs="Times New Roman"/>
        </w:rPr>
        <w:t xml:space="preserve">o </w:t>
      </w:r>
      <w:r w:rsidR="009C0353" w:rsidRPr="00D8273B">
        <w:rPr>
          <w:rFonts w:ascii="Times New Roman" w:hAnsi="Times New Roman" w:cs="Times New Roman"/>
        </w:rPr>
        <w:t xml:space="preserve">registro contábil para fins comerciais e societário e </w:t>
      </w:r>
      <w:r w:rsidR="00953050" w:rsidRPr="00D8273B">
        <w:rPr>
          <w:rFonts w:ascii="Times New Roman" w:hAnsi="Times New Roman" w:cs="Times New Roman"/>
        </w:rPr>
        <w:t xml:space="preserve">o </w:t>
      </w:r>
      <w:r w:rsidR="009C0353" w:rsidRPr="00D8273B">
        <w:rPr>
          <w:rFonts w:ascii="Times New Roman" w:hAnsi="Times New Roman" w:cs="Times New Roman"/>
        </w:rPr>
        <w:t>registro tributário, valendo, para aquele, o padrão internacional de Contabilidade, e, para este, a neutralidade das mudanças contábeis</w:t>
      </w:r>
      <w:r w:rsidR="00D8273B" w:rsidRPr="00D8273B">
        <w:rPr>
          <w:rFonts w:ascii="Times New Roman" w:hAnsi="Times New Roman" w:cs="Times New Roman"/>
        </w:rPr>
        <w:t xml:space="preserve"> (...)</w:t>
      </w:r>
      <w:r w:rsidR="00D8273B">
        <w:rPr>
          <w:rFonts w:ascii="Times New Roman" w:hAnsi="Times New Roman" w:cs="Times New Roman"/>
        </w:rPr>
        <w:t>”</w:t>
      </w:r>
      <w:r w:rsidR="00D8273B" w:rsidRPr="00D8273B">
        <w:rPr>
          <w:rFonts w:ascii="Times New Roman" w:hAnsi="Times New Roman" w:cs="Times New Roman"/>
        </w:rPr>
        <w:t>,</w:t>
      </w:r>
      <w:r w:rsidR="009C0353" w:rsidRPr="00D8273B">
        <w:rPr>
          <w:rFonts w:ascii="Times New Roman" w:hAnsi="Times New Roman" w:cs="Times New Roman"/>
        </w:rPr>
        <w:t xml:space="preserve"> ressaltando</w:t>
      </w:r>
      <w:r w:rsidR="00BE4069">
        <w:rPr>
          <w:rFonts w:ascii="Times New Roman" w:hAnsi="Times New Roman" w:cs="Times New Roman"/>
        </w:rPr>
        <w:t xml:space="preserve"> o autor</w:t>
      </w:r>
      <w:r w:rsidR="009C0353" w:rsidRPr="00D8273B">
        <w:rPr>
          <w:rFonts w:ascii="Times New Roman" w:hAnsi="Times New Roman" w:cs="Times New Roman"/>
        </w:rPr>
        <w:t xml:space="preserve"> que </w:t>
      </w:r>
      <w:r w:rsidR="00D8273B">
        <w:rPr>
          <w:rFonts w:ascii="Times New Roman" w:hAnsi="Times New Roman" w:cs="Times New Roman"/>
        </w:rPr>
        <w:t>“</w:t>
      </w:r>
      <w:r w:rsidR="004C52A7">
        <w:rPr>
          <w:rFonts w:ascii="Times New Roman" w:hAnsi="Times New Roman" w:cs="Times New Roman"/>
        </w:rPr>
        <w:t xml:space="preserve">(...) </w:t>
      </w:r>
      <w:r w:rsidR="00D8273B" w:rsidRPr="00D8273B">
        <w:rPr>
          <w:rFonts w:ascii="Times New Roman" w:hAnsi="Times New Roman" w:cs="Times New Roman"/>
        </w:rPr>
        <w:t xml:space="preserve">a </w:t>
      </w:r>
      <w:r w:rsidR="009C0353" w:rsidRPr="00D8273B">
        <w:rPr>
          <w:rFonts w:ascii="Times New Roman" w:hAnsi="Times New Roman" w:cs="Times New Roman"/>
        </w:rPr>
        <w:t>neutralidade tributária foi uma exigência do mercado, especialmente das companhias abertas, para a aceitação dos IFRS como normas contábeis a serem adotadas no Brasil</w:t>
      </w:r>
      <w:r w:rsidR="00D8273B">
        <w:rPr>
          <w:rFonts w:ascii="Times New Roman" w:hAnsi="Times New Roman" w:cs="Times New Roman"/>
        </w:rPr>
        <w:t>”</w:t>
      </w:r>
      <w:r w:rsidR="009C0353" w:rsidRPr="00D8273B">
        <w:rPr>
          <w:rFonts w:ascii="Times New Roman" w:hAnsi="Times New Roman" w:cs="Times New Roman"/>
        </w:rPr>
        <w:t>.</w:t>
      </w:r>
    </w:p>
    <w:p w14:paraId="15ACECCF" w14:textId="527E95F2" w:rsidR="00631B58" w:rsidRDefault="00B26941" w:rsidP="001D0599">
      <w:pPr>
        <w:spacing w:after="120"/>
        <w:ind w:firstLine="709"/>
        <w:jc w:val="both"/>
        <w:rPr>
          <w:rFonts w:ascii="Times New Roman" w:hAnsi="Times New Roman" w:cs="Times New Roman"/>
        </w:rPr>
      </w:pPr>
      <w:r w:rsidRPr="001A232D">
        <w:rPr>
          <w:rFonts w:ascii="Times New Roman" w:hAnsi="Times New Roman" w:cs="Times New Roman"/>
        </w:rPr>
        <w:t>Tais disposições viriam a ser aperfeiçoadas pela Medida Provisória n</w:t>
      </w:r>
      <w:r w:rsidRPr="001A232D">
        <w:rPr>
          <w:rFonts w:ascii="Times New Roman" w:hAnsi="Times New Roman" w:cs="Times New Roman"/>
          <w:u w:val="single"/>
          <w:vertAlign w:val="superscript"/>
        </w:rPr>
        <w:t>o</w:t>
      </w:r>
      <w:r w:rsidRPr="001A232D">
        <w:rPr>
          <w:rFonts w:ascii="Times New Roman" w:hAnsi="Times New Roman" w:cs="Times New Roman"/>
        </w:rPr>
        <w:t xml:space="preserve"> 449, de 3 de dezembro de 2008, posteriormente convertida na Lei n</w:t>
      </w:r>
      <w:r w:rsidRPr="001A232D">
        <w:rPr>
          <w:rFonts w:ascii="Times New Roman" w:hAnsi="Times New Roman" w:cs="Times New Roman"/>
          <w:u w:val="single"/>
          <w:vertAlign w:val="superscript"/>
        </w:rPr>
        <w:t>o</w:t>
      </w:r>
      <w:r w:rsidRPr="001A232D">
        <w:rPr>
          <w:rFonts w:ascii="Times New Roman" w:hAnsi="Times New Roman" w:cs="Times New Roman"/>
        </w:rPr>
        <w:t xml:space="preserve"> 11.941, de 27 de maio de 2009, criando-se </w:t>
      </w:r>
      <w:r w:rsidR="00953050">
        <w:rPr>
          <w:rFonts w:ascii="Times New Roman" w:hAnsi="Times New Roman" w:cs="Times New Roman"/>
        </w:rPr>
        <w:t>o denominado</w:t>
      </w:r>
      <w:r w:rsidR="00953050" w:rsidRPr="001A232D">
        <w:rPr>
          <w:rFonts w:ascii="Times New Roman" w:hAnsi="Times New Roman" w:cs="Times New Roman"/>
        </w:rPr>
        <w:t xml:space="preserve"> </w:t>
      </w:r>
      <w:r w:rsidRPr="001A232D">
        <w:rPr>
          <w:rFonts w:ascii="Times New Roman" w:hAnsi="Times New Roman" w:cs="Times New Roman"/>
        </w:rPr>
        <w:t>Regime Tributário de Transição</w:t>
      </w:r>
      <w:r w:rsidR="000B51CD" w:rsidRPr="001A232D">
        <w:rPr>
          <w:rFonts w:ascii="Times New Roman" w:hAnsi="Times New Roman" w:cs="Times New Roman"/>
        </w:rPr>
        <w:t xml:space="preserve"> – RTT que</w:t>
      </w:r>
      <w:r w:rsidR="007F30C0" w:rsidRPr="001A232D">
        <w:rPr>
          <w:rFonts w:ascii="Times New Roman" w:hAnsi="Times New Roman" w:cs="Times New Roman"/>
        </w:rPr>
        <w:t>,</w:t>
      </w:r>
      <w:r w:rsidR="000B51CD" w:rsidRPr="001A232D">
        <w:rPr>
          <w:rFonts w:ascii="Times New Roman" w:hAnsi="Times New Roman" w:cs="Times New Roman"/>
        </w:rPr>
        <w:t xml:space="preserve"> assegura</w:t>
      </w:r>
      <w:r w:rsidR="007F30C0" w:rsidRPr="001A232D">
        <w:rPr>
          <w:rFonts w:ascii="Times New Roman" w:hAnsi="Times New Roman" w:cs="Times New Roman"/>
        </w:rPr>
        <w:t>ndo</w:t>
      </w:r>
      <w:r w:rsidR="000B51CD" w:rsidRPr="001A232D">
        <w:rPr>
          <w:rFonts w:ascii="Times New Roman" w:hAnsi="Times New Roman" w:cs="Times New Roman"/>
        </w:rPr>
        <w:t xml:space="preserve"> a neutralidade tributária</w:t>
      </w:r>
      <w:r w:rsidR="007F30C0" w:rsidRPr="001A232D">
        <w:rPr>
          <w:rFonts w:ascii="Times New Roman" w:hAnsi="Times New Roman" w:cs="Times New Roman"/>
        </w:rPr>
        <w:t xml:space="preserve">, </w:t>
      </w:r>
      <w:r w:rsidR="000B51CD" w:rsidRPr="001A232D">
        <w:rPr>
          <w:rFonts w:ascii="Times New Roman" w:hAnsi="Times New Roman" w:cs="Times New Roman"/>
        </w:rPr>
        <w:t xml:space="preserve">teria vigência até que fosse editada lei ordinária </w:t>
      </w:r>
      <w:r w:rsidR="007F30C0" w:rsidRPr="001A232D">
        <w:rPr>
          <w:rFonts w:ascii="Times New Roman" w:hAnsi="Times New Roman" w:cs="Times New Roman"/>
        </w:rPr>
        <w:t>regul</w:t>
      </w:r>
      <w:r w:rsidR="004F2865">
        <w:rPr>
          <w:rFonts w:ascii="Times New Roman" w:hAnsi="Times New Roman" w:cs="Times New Roman"/>
        </w:rPr>
        <w:t>ando</w:t>
      </w:r>
      <w:r w:rsidR="007F30C0" w:rsidRPr="001A232D">
        <w:rPr>
          <w:rFonts w:ascii="Times New Roman" w:hAnsi="Times New Roman" w:cs="Times New Roman"/>
        </w:rPr>
        <w:t xml:space="preserve"> o tratamento tributário a </w:t>
      </w:r>
      <w:r w:rsidR="007F30C0" w:rsidRPr="001A232D">
        <w:rPr>
          <w:rFonts w:ascii="Times New Roman" w:hAnsi="Times New Roman" w:cs="Times New Roman"/>
        </w:rPr>
        <w:lastRenderedPageBreak/>
        <w:t>ser dado aos lançamentos contábeis decorrentes da adoção dos I</w:t>
      </w:r>
      <w:r w:rsidR="00BE4069">
        <w:rPr>
          <w:rFonts w:ascii="Times New Roman" w:hAnsi="Times New Roman" w:cs="Times New Roman"/>
        </w:rPr>
        <w:t>FR</w:t>
      </w:r>
      <w:r w:rsidR="007F30C0" w:rsidRPr="001A232D">
        <w:rPr>
          <w:rFonts w:ascii="Times New Roman" w:hAnsi="Times New Roman" w:cs="Times New Roman"/>
        </w:rPr>
        <w:t>S. Tal regime, que vigorou facultativamente nos anos de 2008 e 2009 e compulsoriamente de 2010 a 2014,</w:t>
      </w:r>
      <w:r w:rsidR="001A232D">
        <w:rPr>
          <w:rFonts w:ascii="Times New Roman" w:hAnsi="Times New Roman" w:cs="Times New Roman"/>
        </w:rPr>
        <w:t xml:space="preserve"> </w:t>
      </w:r>
      <w:r w:rsidR="00403D9F">
        <w:rPr>
          <w:rFonts w:ascii="Times New Roman" w:hAnsi="Times New Roman" w:cs="Times New Roman"/>
        </w:rPr>
        <w:t xml:space="preserve">estabeleceu que as alterações no lucro antes dos tributos (LAIR) </w:t>
      </w:r>
      <w:r w:rsidR="00BD7313">
        <w:rPr>
          <w:rFonts w:ascii="Times New Roman" w:hAnsi="Times New Roman" w:cs="Times New Roman"/>
        </w:rPr>
        <w:t>decorrentes</w:t>
      </w:r>
      <w:r w:rsidR="00403D9F">
        <w:rPr>
          <w:rFonts w:ascii="Times New Roman" w:hAnsi="Times New Roman" w:cs="Times New Roman"/>
        </w:rPr>
        <w:t xml:space="preserve"> </w:t>
      </w:r>
      <w:r w:rsidR="00250814">
        <w:rPr>
          <w:rFonts w:ascii="Times New Roman" w:hAnsi="Times New Roman" w:cs="Times New Roman"/>
        </w:rPr>
        <w:t xml:space="preserve">da aplicação </w:t>
      </w:r>
      <w:r w:rsidR="00403D9F">
        <w:rPr>
          <w:rFonts w:ascii="Times New Roman" w:hAnsi="Times New Roman" w:cs="Times New Roman"/>
        </w:rPr>
        <w:t>d</w:t>
      </w:r>
      <w:r w:rsidR="006F65C5">
        <w:rPr>
          <w:rFonts w:ascii="Times New Roman" w:hAnsi="Times New Roman" w:cs="Times New Roman"/>
        </w:rPr>
        <w:t>e</w:t>
      </w:r>
      <w:r w:rsidR="00403D9F">
        <w:rPr>
          <w:rFonts w:ascii="Times New Roman" w:hAnsi="Times New Roman" w:cs="Times New Roman"/>
        </w:rPr>
        <w:t xml:space="preserve"> métodos </w:t>
      </w:r>
      <w:r w:rsidR="000D538B">
        <w:rPr>
          <w:rFonts w:ascii="Times New Roman" w:hAnsi="Times New Roman" w:cs="Times New Roman"/>
        </w:rPr>
        <w:t>ou</w:t>
      </w:r>
      <w:r w:rsidR="00403D9F">
        <w:rPr>
          <w:rFonts w:ascii="Times New Roman" w:hAnsi="Times New Roman" w:cs="Times New Roman"/>
        </w:rPr>
        <w:t xml:space="preserve"> critérios </w:t>
      </w:r>
      <w:r w:rsidR="004C43E6">
        <w:rPr>
          <w:rFonts w:ascii="Times New Roman" w:hAnsi="Times New Roman" w:cs="Times New Roman"/>
        </w:rPr>
        <w:t xml:space="preserve">contábeis </w:t>
      </w:r>
      <w:r w:rsidR="00BD7313">
        <w:rPr>
          <w:rFonts w:ascii="Times New Roman" w:hAnsi="Times New Roman" w:cs="Times New Roman"/>
        </w:rPr>
        <w:t>convergentes com as normas internacionais</w:t>
      </w:r>
      <w:r w:rsidR="00FF3996">
        <w:rPr>
          <w:rFonts w:ascii="Times New Roman" w:hAnsi="Times New Roman" w:cs="Times New Roman"/>
        </w:rPr>
        <w:t xml:space="preserve"> </w:t>
      </w:r>
      <w:r w:rsidR="00A3544F">
        <w:rPr>
          <w:rFonts w:ascii="Times New Roman" w:hAnsi="Times New Roman" w:cs="Times New Roman"/>
        </w:rPr>
        <w:t xml:space="preserve">não </w:t>
      </w:r>
      <w:r w:rsidR="00403D9F">
        <w:rPr>
          <w:rFonts w:ascii="Times New Roman" w:hAnsi="Times New Roman" w:cs="Times New Roman"/>
        </w:rPr>
        <w:t>surtiriam efeito</w:t>
      </w:r>
      <w:r w:rsidR="009D0CB6">
        <w:rPr>
          <w:rFonts w:ascii="Times New Roman" w:hAnsi="Times New Roman" w:cs="Times New Roman"/>
        </w:rPr>
        <w:t>s</w:t>
      </w:r>
      <w:r w:rsidR="00403D9F">
        <w:rPr>
          <w:rFonts w:ascii="Times New Roman" w:hAnsi="Times New Roman" w:cs="Times New Roman"/>
        </w:rPr>
        <w:t xml:space="preserve"> </w:t>
      </w:r>
      <w:r w:rsidR="009D0CB6">
        <w:rPr>
          <w:rFonts w:ascii="Times New Roman" w:hAnsi="Times New Roman" w:cs="Times New Roman"/>
        </w:rPr>
        <w:t>n</w:t>
      </w:r>
      <w:r w:rsidR="006F65C5">
        <w:rPr>
          <w:rFonts w:ascii="Times New Roman" w:hAnsi="Times New Roman" w:cs="Times New Roman"/>
        </w:rPr>
        <w:t>o</w:t>
      </w:r>
      <w:r w:rsidR="00403D9F">
        <w:rPr>
          <w:rFonts w:ascii="Times New Roman" w:hAnsi="Times New Roman" w:cs="Times New Roman"/>
        </w:rPr>
        <w:t xml:space="preserve"> </w:t>
      </w:r>
      <w:r w:rsidR="006F65C5">
        <w:rPr>
          <w:rFonts w:ascii="Times New Roman" w:hAnsi="Times New Roman" w:cs="Times New Roman"/>
        </w:rPr>
        <w:t>Imposto de Renda da Pessoa Jurídica (IRPJ) e a Contribuição Social sobre o Lucro Líquido (CSLL</w:t>
      </w:r>
      <w:r w:rsidR="001A232D">
        <w:rPr>
          <w:rFonts w:ascii="Times New Roman" w:hAnsi="Times New Roman" w:cs="Times New Roman"/>
        </w:rPr>
        <w:t>)</w:t>
      </w:r>
      <w:r w:rsidR="004C43E6">
        <w:rPr>
          <w:rFonts w:ascii="Times New Roman" w:hAnsi="Times New Roman" w:cs="Times New Roman"/>
        </w:rPr>
        <w:t>.</w:t>
      </w:r>
    </w:p>
    <w:p w14:paraId="1B062E9C" w14:textId="79F1D794" w:rsidR="004C52A7" w:rsidRDefault="00B37691" w:rsidP="001D0599">
      <w:pPr>
        <w:spacing w:after="120"/>
        <w:ind w:firstLine="709"/>
        <w:jc w:val="both"/>
        <w:rPr>
          <w:rFonts w:ascii="Times New Roman" w:hAnsi="Times New Roman" w:cs="Times New Roman"/>
        </w:rPr>
      </w:pPr>
      <w:r>
        <w:rPr>
          <w:rFonts w:ascii="Times New Roman" w:hAnsi="Times New Roman" w:cs="Times New Roman"/>
        </w:rPr>
        <w:t>Posteriormente, a</w:t>
      </w:r>
      <w:r w:rsidR="00EC4FF5">
        <w:rPr>
          <w:rFonts w:ascii="Times New Roman" w:hAnsi="Times New Roman" w:cs="Times New Roman"/>
        </w:rPr>
        <w:t xml:space="preserve"> Lei nº 12.973</w:t>
      </w:r>
      <w:r w:rsidR="00BE6A69">
        <w:rPr>
          <w:rFonts w:ascii="Times New Roman" w:hAnsi="Times New Roman" w:cs="Times New Roman"/>
        </w:rPr>
        <w:t>, de 13 de maio de 2014,</w:t>
      </w:r>
      <w:r w:rsidR="00EC4FF5">
        <w:rPr>
          <w:rFonts w:ascii="Times New Roman" w:hAnsi="Times New Roman" w:cs="Times New Roman"/>
        </w:rPr>
        <w:t xml:space="preserve"> </w:t>
      </w:r>
      <w:r w:rsidR="004F2865">
        <w:rPr>
          <w:rFonts w:ascii="Times New Roman" w:hAnsi="Times New Roman" w:cs="Times New Roman"/>
        </w:rPr>
        <w:t>estabeleceu</w:t>
      </w:r>
      <w:r w:rsidR="006F65C5">
        <w:rPr>
          <w:rFonts w:ascii="Times New Roman" w:hAnsi="Times New Roman" w:cs="Times New Roman"/>
        </w:rPr>
        <w:t xml:space="preserve"> o</w:t>
      </w:r>
      <w:r w:rsidR="00250814">
        <w:rPr>
          <w:rFonts w:ascii="Times New Roman" w:hAnsi="Times New Roman" w:cs="Times New Roman"/>
        </w:rPr>
        <w:t xml:space="preserve"> </w:t>
      </w:r>
      <w:r w:rsidR="006F65C5">
        <w:rPr>
          <w:rFonts w:ascii="Times New Roman" w:hAnsi="Times New Roman" w:cs="Times New Roman"/>
        </w:rPr>
        <w:t>tratamento</w:t>
      </w:r>
      <w:r w:rsidR="00837C30">
        <w:rPr>
          <w:rFonts w:ascii="Times New Roman" w:hAnsi="Times New Roman" w:cs="Times New Roman"/>
        </w:rPr>
        <w:t xml:space="preserve"> fiscal </w:t>
      </w:r>
      <w:r w:rsidR="009D0CB6">
        <w:rPr>
          <w:rFonts w:ascii="Times New Roman" w:hAnsi="Times New Roman" w:cs="Times New Roman"/>
        </w:rPr>
        <w:t>dispensado</w:t>
      </w:r>
      <w:r w:rsidR="00837C30">
        <w:rPr>
          <w:rFonts w:ascii="Times New Roman" w:hAnsi="Times New Roman" w:cs="Times New Roman"/>
        </w:rPr>
        <w:t xml:space="preserve"> </w:t>
      </w:r>
      <w:r w:rsidR="009D0CB6">
        <w:rPr>
          <w:rFonts w:ascii="Times New Roman" w:hAnsi="Times New Roman" w:cs="Times New Roman"/>
        </w:rPr>
        <w:t xml:space="preserve">aos métodos </w:t>
      </w:r>
      <w:r w:rsidR="00FB7564">
        <w:rPr>
          <w:rFonts w:ascii="Times New Roman" w:hAnsi="Times New Roman" w:cs="Times New Roman"/>
        </w:rPr>
        <w:t>ou</w:t>
      </w:r>
      <w:r w:rsidR="009D0CB6">
        <w:rPr>
          <w:rFonts w:ascii="Times New Roman" w:hAnsi="Times New Roman" w:cs="Times New Roman"/>
        </w:rPr>
        <w:t xml:space="preserve"> critérios</w:t>
      </w:r>
      <w:r w:rsidR="007479B0">
        <w:rPr>
          <w:rFonts w:ascii="Times New Roman" w:hAnsi="Times New Roman" w:cs="Times New Roman"/>
        </w:rPr>
        <w:t xml:space="preserve"> </w:t>
      </w:r>
      <w:r w:rsidR="007F3230">
        <w:rPr>
          <w:rFonts w:ascii="Times New Roman" w:hAnsi="Times New Roman" w:cs="Times New Roman"/>
        </w:rPr>
        <w:t>adotados ou modificados</w:t>
      </w:r>
      <w:r w:rsidR="007479B0">
        <w:rPr>
          <w:rFonts w:ascii="Times New Roman" w:hAnsi="Times New Roman" w:cs="Times New Roman"/>
        </w:rPr>
        <w:t xml:space="preserve"> </w:t>
      </w:r>
      <w:r w:rsidR="00FB7564">
        <w:rPr>
          <w:rFonts w:ascii="Times New Roman" w:hAnsi="Times New Roman" w:cs="Times New Roman"/>
        </w:rPr>
        <w:t>pela</w:t>
      </w:r>
      <w:r w:rsidR="007479B0">
        <w:rPr>
          <w:rFonts w:ascii="Times New Roman" w:hAnsi="Times New Roman" w:cs="Times New Roman"/>
        </w:rPr>
        <w:t xml:space="preserve"> normatização contábil,</w:t>
      </w:r>
      <w:r w:rsidR="009D0CB6">
        <w:rPr>
          <w:rFonts w:ascii="Times New Roman" w:hAnsi="Times New Roman" w:cs="Times New Roman"/>
        </w:rPr>
        <w:t xml:space="preserve"> </w:t>
      </w:r>
      <w:r w:rsidR="00073A36">
        <w:rPr>
          <w:rFonts w:ascii="Times New Roman" w:hAnsi="Times New Roman" w:cs="Times New Roman"/>
        </w:rPr>
        <w:t>convergente</w:t>
      </w:r>
      <w:r w:rsidR="009D0CB6">
        <w:rPr>
          <w:rFonts w:ascii="Times New Roman" w:hAnsi="Times New Roman" w:cs="Times New Roman"/>
        </w:rPr>
        <w:t>s</w:t>
      </w:r>
      <w:r w:rsidR="00073A36">
        <w:rPr>
          <w:rFonts w:ascii="Times New Roman" w:hAnsi="Times New Roman" w:cs="Times New Roman"/>
        </w:rPr>
        <w:t xml:space="preserve"> com as regras internacionai</w:t>
      </w:r>
      <w:r w:rsidR="007479B0">
        <w:rPr>
          <w:rFonts w:ascii="Times New Roman" w:hAnsi="Times New Roman" w:cs="Times New Roman"/>
        </w:rPr>
        <w:t>s</w:t>
      </w:r>
      <w:r w:rsidR="00837C30">
        <w:rPr>
          <w:rFonts w:ascii="Times New Roman" w:hAnsi="Times New Roman" w:cs="Times New Roman"/>
        </w:rPr>
        <w:t xml:space="preserve">, </w:t>
      </w:r>
      <w:r w:rsidR="009D0CB6">
        <w:rPr>
          <w:rFonts w:ascii="Times New Roman" w:hAnsi="Times New Roman" w:cs="Times New Roman"/>
        </w:rPr>
        <w:t>sendo</w:t>
      </w:r>
      <w:r w:rsidR="00837C30">
        <w:rPr>
          <w:rFonts w:ascii="Times New Roman" w:hAnsi="Times New Roman" w:cs="Times New Roman"/>
        </w:rPr>
        <w:t xml:space="preserve"> </w:t>
      </w:r>
      <w:r w:rsidR="009D0CB6">
        <w:rPr>
          <w:rFonts w:ascii="Times New Roman" w:hAnsi="Times New Roman" w:cs="Times New Roman"/>
        </w:rPr>
        <w:t>obrigat</w:t>
      </w:r>
      <w:r w:rsidR="006F65C5">
        <w:rPr>
          <w:rFonts w:ascii="Times New Roman" w:hAnsi="Times New Roman" w:cs="Times New Roman"/>
        </w:rPr>
        <w:t>ó</w:t>
      </w:r>
      <w:r w:rsidR="009D0CB6">
        <w:rPr>
          <w:rFonts w:ascii="Times New Roman" w:hAnsi="Times New Roman" w:cs="Times New Roman"/>
        </w:rPr>
        <w:t>ri</w:t>
      </w:r>
      <w:r w:rsidR="006F65C5">
        <w:rPr>
          <w:rFonts w:ascii="Times New Roman" w:hAnsi="Times New Roman" w:cs="Times New Roman"/>
        </w:rPr>
        <w:t>o</w:t>
      </w:r>
      <w:r w:rsidR="00837C30">
        <w:rPr>
          <w:rFonts w:ascii="Times New Roman" w:hAnsi="Times New Roman" w:cs="Times New Roman"/>
        </w:rPr>
        <w:t xml:space="preserve"> </w:t>
      </w:r>
      <w:r w:rsidR="006F65C5">
        <w:rPr>
          <w:rFonts w:ascii="Times New Roman" w:hAnsi="Times New Roman" w:cs="Times New Roman"/>
        </w:rPr>
        <w:t>à</w:t>
      </w:r>
      <w:r w:rsidR="00837C30">
        <w:rPr>
          <w:rFonts w:ascii="Times New Roman" w:hAnsi="Times New Roman" w:cs="Times New Roman"/>
        </w:rPr>
        <w:t xml:space="preserve">s pessoas jurídicas </w:t>
      </w:r>
      <w:r w:rsidR="00073A36">
        <w:rPr>
          <w:rFonts w:ascii="Times New Roman" w:hAnsi="Times New Roman" w:cs="Times New Roman"/>
        </w:rPr>
        <w:t>submetid</w:t>
      </w:r>
      <w:r w:rsidR="00837C30">
        <w:rPr>
          <w:rFonts w:ascii="Times New Roman" w:hAnsi="Times New Roman" w:cs="Times New Roman"/>
        </w:rPr>
        <w:t xml:space="preserve">as </w:t>
      </w:r>
      <w:r w:rsidR="006F65C5">
        <w:rPr>
          <w:rFonts w:ascii="Times New Roman" w:hAnsi="Times New Roman" w:cs="Times New Roman"/>
        </w:rPr>
        <w:t>ao</w:t>
      </w:r>
      <w:r w:rsidR="00073A36">
        <w:rPr>
          <w:rFonts w:ascii="Times New Roman" w:hAnsi="Times New Roman" w:cs="Times New Roman"/>
        </w:rPr>
        <w:t xml:space="preserve"> lucro real, presumido ou arbitrado</w:t>
      </w:r>
      <w:r w:rsidR="00837C30">
        <w:rPr>
          <w:rFonts w:ascii="Times New Roman" w:hAnsi="Times New Roman" w:cs="Times New Roman"/>
        </w:rPr>
        <w:t xml:space="preserve"> no IRPJ e na CSLL</w:t>
      </w:r>
      <w:r w:rsidR="006F65C5" w:rsidRPr="006F65C5">
        <w:rPr>
          <w:rFonts w:ascii="Times New Roman" w:hAnsi="Times New Roman" w:cs="Times New Roman"/>
        </w:rPr>
        <w:t xml:space="preserve"> </w:t>
      </w:r>
      <w:r w:rsidR="006F65C5">
        <w:rPr>
          <w:rFonts w:ascii="Times New Roman" w:hAnsi="Times New Roman" w:cs="Times New Roman"/>
        </w:rPr>
        <w:t>a partir d</w:t>
      </w:r>
      <w:r w:rsidR="00BE4069">
        <w:rPr>
          <w:rFonts w:ascii="Times New Roman" w:hAnsi="Times New Roman" w:cs="Times New Roman"/>
        </w:rPr>
        <w:t xml:space="preserve">e 1º de janeiro de </w:t>
      </w:r>
      <w:r w:rsidR="006F65C5">
        <w:rPr>
          <w:rFonts w:ascii="Times New Roman" w:hAnsi="Times New Roman" w:cs="Times New Roman"/>
        </w:rPr>
        <w:t>2015</w:t>
      </w:r>
      <w:r w:rsidR="00073A36">
        <w:rPr>
          <w:rFonts w:ascii="Times New Roman" w:hAnsi="Times New Roman" w:cs="Times New Roman"/>
        </w:rPr>
        <w:t xml:space="preserve">. </w:t>
      </w:r>
      <w:r w:rsidR="00E52AAA">
        <w:rPr>
          <w:rFonts w:ascii="Times New Roman" w:hAnsi="Times New Roman" w:cs="Times New Roman"/>
        </w:rPr>
        <w:t xml:space="preserve">A </w:t>
      </w:r>
      <w:r w:rsidR="00FB7564">
        <w:rPr>
          <w:rFonts w:ascii="Times New Roman" w:hAnsi="Times New Roman" w:cs="Times New Roman"/>
        </w:rPr>
        <w:t>mencionada</w:t>
      </w:r>
      <w:r w:rsidR="00E52AAA">
        <w:rPr>
          <w:rFonts w:ascii="Times New Roman" w:hAnsi="Times New Roman" w:cs="Times New Roman"/>
        </w:rPr>
        <w:t xml:space="preserve"> lei disp</w:t>
      </w:r>
      <w:r w:rsidR="00BB7AD1">
        <w:rPr>
          <w:rFonts w:ascii="Times New Roman" w:hAnsi="Times New Roman" w:cs="Times New Roman"/>
        </w:rPr>
        <w:t>ôs</w:t>
      </w:r>
      <w:r w:rsidR="00E52AAA">
        <w:rPr>
          <w:rFonts w:ascii="Times New Roman" w:hAnsi="Times New Roman" w:cs="Times New Roman"/>
        </w:rPr>
        <w:t xml:space="preserve"> sobre o</w:t>
      </w:r>
      <w:r w:rsidR="0008634B">
        <w:rPr>
          <w:rFonts w:ascii="Times New Roman" w:hAnsi="Times New Roman" w:cs="Times New Roman"/>
        </w:rPr>
        <w:t>s</w:t>
      </w:r>
      <w:r w:rsidR="00E52AAA">
        <w:rPr>
          <w:rFonts w:ascii="Times New Roman" w:hAnsi="Times New Roman" w:cs="Times New Roman"/>
        </w:rPr>
        <w:t xml:space="preserve"> </w:t>
      </w:r>
      <w:r w:rsidR="005143DE">
        <w:rPr>
          <w:rFonts w:ascii="Times New Roman" w:hAnsi="Times New Roman" w:cs="Times New Roman"/>
        </w:rPr>
        <w:t>ajuste</w:t>
      </w:r>
      <w:r w:rsidR="0008634B">
        <w:rPr>
          <w:rFonts w:ascii="Times New Roman" w:hAnsi="Times New Roman" w:cs="Times New Roman"/>
        </w:rPr>
        <w:t>s</w:t>
      </w:r>
      <w:r w:rsidR="00E52AAA">
        <w:rPr>
          <w:rFonts w:ascii="Times New Roman" w:hAnsi="Times New Roman" w:cs="Times New Roman"/>
        </w:rPr>
        <w:t xml:space="preserve"> fisca</w:t>
      </w:r>
      <w:r w:rsidR="0008634B">
        <w:rPr>
          <w:rFonts w:ascii="Times New Roman" w:hAnsi="Times New Roman" w:cs="Times New Roman"/>
        </w:rPr>
        <w:t>is de adição e exclusão</w:t>
      </w:r>
      <w:r w:rsidR="00E52AAA">
        <w:rPr>
          <w:rFonts w:ascii="Times New Roman" w:hAnsi="Times New Roman" w:cs="Times New Roman"/>
        </w:rPr>
        <w:t xml:space="preserve"> destinado</w:t>
      </w:r>
      <w:r w:rsidR="0008634B">
        <w:rPr>
          <w:rFonts w:ascii="Times New Roman" w:hAnsi="Times New Roman" w:cs="Times New Roman"/>
        </w:rPr>
        <w:t>s</w:t>
      </w:r>
      <w:r w:rsidR="00E52AAA">
        <w:rPr>
          <w:rFonts w:ascii="Times New Roman" w:hAnsi="Times New Roman" w:cs="Times New Roman"/>
        </w:rPr>
        <w:t xml:space="preserve"> a </w:t>
      </w:r>
      <w:r w:rsidR="005143DE">
        <w:rPr>
          <w:rFonts w:ascii="Times New Roman" w:hAnsi="Times New Roman" w:cs="Times New Roman"/>
        </w:rPr>
        <w:t>neutralizar os efeitos tributários</w:t>
      </w:r>
      <w:r w:rsidR="00A444E7">
        <w:rPr>
          <w:rFonts w:ascii="Times New Roman" w:hAnsi="Times New Roman" w:cs="Times New Roman"/>
        </w:rPr>
        <w:t xml:space="preserve"> </w:t>
      </w:r>
      <w:r w:rsidR="000E500F">
        <w:rPr>
          <w:rFonts w:ascii="Times New Roman" w:hAnsi="Times New Roman" w:cs="Times New Roman"/>
        </w:rPr>
        <w:t>decorrentes da aplicação dos</w:t>
      </w:r>
      <w:r w:rsidR="00A444E7">
        <w:rPr>
          <w:rFonts w:ascii="Times New Roman" w:hAnsi="Times New Roman" w:cs="Times New Roman"/>
        </w:rPr>
        <w:t xml:space="preserve"> </w:t>
      </w:r>
      <w:r w:rsidR="00E52AAA">
        <w:rPr>
          <w:rFonts w:ascii="Times New Roman" w:hAnsi="Times New Roman" w:cs="Times New Roman"/>
        </w:rPr>
        <w:t>pronunciamentos</w:t>
      </w:r>
      <w:r w:rsidR="00FB7564">
        <w:rPr>
          <w:rFonts w:ascii="Times New Roman" w:hAnsi="Times New Roman" w:cs="Times New Roman"/>
        </w:rPr>
        <w:t xml:space="preserve"> técnicos</w:t>
      </w:r>
      <w:r w:rsidR="00E52AAA">
        <w:rPr>
          <w:rFonts w:ascii="Times New Roman" w:hAnsi="Times New Roman" w:cs="Times New Roman"/>
        </w:rPr>
        <w:t xml:space="preserve"> do </w:t>
      </w:r>
      <w:r w:rsidR="00A444E7">
        <w:rPr>
          <w:rFonts w:ascii="Times New Roman" w:hAnsi="Times New Roman" w:cs="Times New Roman"/>
        </w:rPr>
        <w:t>Comitê de Pronunciamentos Contábeis (</w:t>
      </w:r>
      <w:r w:rsidR="00E52AAA">
        <w:rPr>
          <w:rFonts w:ascii="Times New Roman" w:hAnsi="Times New Roman" w:cs="Times New Roman"/>
        </w:rPr>
        <w:t>CPC</w:t>
      </w:r>
      <w:r w:rsidR="00A444E7">
        <w:rPr>
          <w:rFonts w:ascii="Times New Roman" w:hAnsi="Times New Roman" w:cs="Times New Roman"/>
        </w:rPr>
        <w:t>)</w:t>
      </w:r>
      <w:r w:rsidR="00C823EF">
        <w:rPr>
          <w:rFonts w:ascii="Times New Roman" w:hAnsi="Times New Roman" w:cs="Times New Roman"/>
        </w:rPr>
        <w:t xml:space="preserve"> que</w:t>
      </w:r>
      <w:r w:rsidR="00A444E7">
        <w:rPr>
          <w:rFonts w:ascii="Times New Roman" w:hAnsi="Times New Roman" w:cs="Times New Roman"/>
        </w:rPr>
        <w:t xml:space="preserve"> </w:t>
      </w:r>
      <w:r w:rsidR="00C823EF">
        <w:rPr>
          <w:rFonts w:ascii="Times New Roman" w:hAnsi="Times New Roman" w:cs="Times New Roman"/>
        </w:rPr>
        <w:t xml:space="preserve">já haviam sido </w:t>
      </w:r>
      <w:r w:rsidR="00A444E7">
        <w:rPr>
          <w:rFonts w:ascii="Times New Roman" w:hAnsi="Times New Roman" w:cs="Times New Roman"/>
        </w:rPr>
        <w:t>publicados à époc</w:t>
      </w:r>
      <w:r w:rsidR="000E500F">
        <w:rPr>
          <w:rFonts w:ascii="Times New Roman" w:hAnsi="Times New Roman" w:cs="Times New Roman"/>
        </w:rPr>
        <w:t>a</w:t>
      </w:r>
      <w:r w:rsidR="00E52AAA">
        <w:rPr>
          <w:rFonts w:ascii="Times New Roman" w:hAnsi="Times New Roman" w:cs="Times New Roman"/>
        </w:rPr>
        <w:t xml:space="preserve">, </w:t>
      </w:r>
      <w:r w:rsidR="000E500F">
        <w:rPr>
          <w:rFonts w:ascii="Times New Roman" w:hAnsi="Times New Roman" w:cs="Times New Roman"/>
        </w:rPr>
        <w:t xml:space="preserve">reproduzidos em </w:t>
      </w:r>
      <w:r w:rsidR="00E52AAA">
        <w:rPr>
          <w:rFonts w:ascii="Times New Roman" w:hAnsi="Times New Roman" w:cs="Times New Roman"/>
        </w:rPr>
        <w:t xml:space="preserve">resoluções do </w:t>
      </w:r>
      <w:r w:rsidR="00A444E7">
        <w:rPr>
          <w:rFonts w:ascii="Times New Roman" w:hAnsi="Times New Roman" w:cs="Times New Roman"/>
        </w:rPr>
        <w:t>Conselho Federal de Contabilidade (</w:t>
      </w:r>
      <w:r w:rsidR="00E52AAA">
        <w:rPr>
          <w:rFonts w:ascii="Times New Roman" w:hAnsi="Times New Roman" w:cs="Times New Roman"/>
        </w:rPr>
        <w:t>CFC</w:t>
      </w:r>
      <w:r w:rsidR="00A444E7">
        <w:rPr>
          <w:rFonts w:ascii="Times New Roman" w:hAnsi="Times New Roman" w:cs="Times New Roman"/>
        </w:rPr>
        <w:t>)</w:t>
      </w:r>
      <w:r w:rsidR="00E52AAA">
        <w:rPr>
          <w:rFonts w:ascii="Times New Roman" w:hAnsi="Times New Roman" w:cs="Times New Roman"/>
        </w:rPr>
        <w:t xml:space="preserve"> </w:t>
      </w:r>
      <w:r w:rsidR="003D582E">
        <w:rPr>
          <w:rFonts w:ascii="Times New Roman" w:hAnsi="Times New Roman" w:cs="Times New Roman"/>
        </w:rPr>
        <w:t>e</w:t>
      </w:r>
      <w:r w:rsidR="00E52AAA">
        <w:rPr>
          <w:rFonts w:ascii="Times New Roman" w:hAnsi="Times New Roman" w:cs="Times New Roman"/>
        </w:rPr>
        <w:t xml:space="preserve"> </w:t>
      </w:r>
      <w:r w:rsidR="00BE4069">
        <w:rPr>
          <w:rFonts w:ascii="Times New Roman" w:hAnsi="Times New Roman" w:cs="Times New Roman"/>
        </w:rPr>
        <w:t xml:space="preserve">demais </w:t>
      </w:r>
      <w:r w:rsidR="00E52AAA">
        <w:rPr>
          <w:rFonts w:ascii="Times New Roman" w:hAnsi="Times New Roman" w:cs="Times New Roman"/>
        </w:rPr>
        <w:t>normas d</w:t>
      </w:r>
      <w:r w:rsidR="00BE4069">
        <w:rPr>
          <w:rFonts w:ascii="Times New Roman" w:hAnsi="Times New Roman" w:cs="Times New Roman"/>
        </w:rPr>
        <w:t>os</w:t>
      </w:r>
      <w:r w:rsidR="00E52AAA">
        <w:rPr>
          <w:rFonts w:ascii="Times New Roman" w:hAnsi="Times New Roman" w:cs="Times New Roman"/>
        </w:rPr>
        <w:t xml:space="preserve"> órgãos regulador</w:t>
      </w:r>
      <w:r w:rsidR="00A444E7">
        <w:rPr>
          <w:rFonts w:ascii="Times New Roman" w:hAnsi="Times New Roman" w:cs="Times New Roman"/>
        </w:rPr>
        <w:t>es,</w:t>
      </w:r>
      <w:r w:rsidR="002249B6">
        <w:rPr>
          <w:rFonts w:ascii="Times New Roman" w:hAnsi="Times New Roman" w:cs="Times New Roman"/>
        </w:rPr>
        <w:t xml:space="preserve"> tais como o ajuste a valor presente</w:t>
      </w:r>
      <w:r w:rsidR="00A444E7">
        <w:rPr>
          <w:rFonts w:ascii="Times New Roman" w:hAnsi="Times New Roman" w:cs="Times New Roman"/>
        </w:rPr>
        <w:t xml:space="preserve"> (CPC 12)</w:t>
      </w:r>
      <w:r w:rsidR="002249B6">
        <w:rPr>
          <w:rFonts w:ascii="Times New Roman" w:hAnsi="Times New Roman" w:cs="Times New Roman"/>
        </w:rPr>
        <w:t>, o ajuste a valor justo</w:t>
      </w:r>
      <w:r w:rsidR="000E500F">
        <w:rPr>
          <w:rFonts w:ascii="Times New Roman" w:hAnsi="Times New Roman" w:cs="Times New Roman"/>
        </w:rPr>
        <w:t xml:space="preserve"> (CPC 46)</w:t>
      </w:r>
      <w:r w:rsidR="002249B6">
        <w:rPr>
          <w:rFonts w:ascii="Times New Roman" w:hAnsi="Times New Roman" w:cs="Times New Roman"/>
        </w:rPr>
        <w:t>, o arrendamento mercantil</w:t>
      </w:r>
      <w:r w:rsidR="000E500F">
        <w:rPr>
          <w:rFonts w:ascii="Times New Roman" w:hAnsi="Times New Roman" w:cs="Times New Roman"/>
        </w:rPr>
        <w:t xml:space="preserve"> (CPC 06)</w:t>
      </w:r>
      <w:r w:rsidR="002249B6">
        <w:rPr>
          <w:rFonts w:ascii="Times New Roman" w:hAnsi="Times New Roman" w:cs="Times New Roman"/>
        </w:rPr>
        <w:t xml:space="preserve">, </w:t>
      </w:r>
      <w:r w:rsidR="00A444E7">
        <w:rPr>
          <w:rFonts w:ascii="Times New Roman" w:hAnsi="Times New Roman" w:cs="Times New Roman"/>
        </w:rPr>
        <w:t>o</w:t>
      </w:r>
      <w:r w:rsidR="0043308F">
        <w:rPr>
          <w:rFonts w:ascii="Times New Roman" w:hAnsi="Times New Roman" w:cs="Times New Roman"/>
        </w:rPr>
        <w:t xml:space="preserve"> ativo</w:t>
      </w:r>
      <w:r w:rsidR="00A444E7">
        <w:rPr>
          <w:rFonts w:ascii="Times New Roman" w:hAnsi="Times New Roman" w:cs="Times New Roman"/>
        </w:rPr>
        <w:t xml:space="preserve"> imobilizado</w:t>
      </w:r>
      <w:r w:rsidR="0043308F">
        <w:rPr>
          <w:rFonts w:ascii="Times New Roman" w:hAnsi="Times New Roman" w:cs="Times New Roman"/>
        </w:rPr>
        <w:t xml:space="preserve"> (CPC 27)</w:t>
      </w:r>
      <w:r w:rsidR="00A444E7">
        <w:rPr>
          <w:rFonts w:ascii="Times New Roman" w:hAnsi="Times New Roman" w:cs="Times New Roman"/>
        </w:rPr>
        <w:t xml:space="preserve">, </w:t>
      </w:r>
      <w:r w:rsidR="002249B6">
        <w:rPr>
          <w:rFonts w:ascii="Times New Roman" w:hAnsi="Times New Roman" w:cs="Times New Roman"/>
        </w:rPr>
        <w:t>a redução ao valor recuperável (</w:t>
      </w:r>
      <w:proofErr w:type="spellStart"/>
      <w:r w:rsidR="002249B6" w:rsidRPr="002249B6">
        <w:rPr>
          <w:rFonts w:ascii="Times New Roman" w:hAnsi="Times New Roman" w:cs="Times New Roman"/>
          <w:i/>
          <w:iCs/>
        </w:rPr>
        <w:t>impairment</w:t>
      </w:r>
      <w:proofErr w:type="spellEnd"/>
      <w:r w:rsidR="002249B6">
        <w:rPr>
          <w:rFonts w:ascii="Times New Roman" w:hAnsi="Times New Roman" w:cs="Times New Roman"/>
        </w:rPr>
        <w:t>)</w:t>
      </w:r>
      <w:r w:rsidR="00F16AAC">
        <w:rPr>
          <w:rFonts w:ascii="Times New Roman" w:hAnsi="Times New Roman" w:cs="Times New Roman"/>
        </w:rPr>
        <w:t xml:space="preserve"> (CPC 01)</w:t>
      </w:r>
      <w:r w:rsidR="002249B6">
        <w:rPr>
          <w:rFonts w:ascii="Times New Roman" w:hAnsi="Times New Roman" w:cs="Times New Roman"/>
        </w:rPr>
        <w:t>,</w:t>
      </w:r>
      <w:r w:rsidR="00FB7564">
        <w:rPr>
          <w:rFonts w:ascii="Times New Roman" w:hAnsi="Times New Roman" w:cs="Times New Roman"/>
        </w:rPr>
        <w:t xml:space="preserve"> os</w:t>
      </w:r>
      <w:r w:rsidR="002249B6">
        <w:rPr>
          <w:rFonts w:ascii="Times New Roman" w:hAnsi="Times New Roman" w:cs="Times New Roman"/>
        </w:rPr>
        <w:t xml:space="preserve"> investimentos em coligadas e controladas</w:t>
      </w:r>
      <w:r w:rsidR="00EE495C">
        <w:rPr>
          <w:rFonts w:ascii="Times New Roman" w:hAnsi="Times New Roman" w:cs="Times New Roman"/>
        </w:rPr>
        <w:t xml:space="preserve"> (CPC 18)</w:t>
      </w:r>
      <w:r w:rsidR="002249B6">
        <w:rPr>
          <w:rFonts w:ascii="Times New Roman" w:hAnsi="Times New Roman" w:cs="Times New Roman"/>
        </w:rPr>
        <w:t xml:space="preserve">, </w:t>
      </w:r>
      <w:r w:rsidR="00FB7564">
        <w:rPr>
          <w:rFonts w:ascii="Times New Roman" w:hAnsi="Times New Roman" w:cs="Times New Roman"/>
        </w:rPr>
        <w:t xml:space="preserve">as </w:t>
      </w:r>
      <w:r w:rsidR="002249B6">
        <w:rPr>
          <w:rFonts w:ascii="Times New Roman" w:hAnsi="Times New Roman" w:cs="Times New Roman"/>
        </w:rPr>
        <w:t>combinaç</w:t>
      </w:r>
      <w:r w:rsidR="00FB7564">
        <w:rPr>
          <w:rFonts w:ascii="Times New Roman" w:hAnsi="Times New Roman" w:cs="Times New Roman"/>
        </w:rPr>
        <w:t>ões</w:t>
      </w:r>
      <w:r w:rsidR="002249B6">
        <w:rPr>
          <w:rFonts w:ascii="Times New Roman" w:hAnsi="Times New Roman" w:cs="Times New Roman"/>
        </w:rPr>
        <w:t xml:space="preserve"> de negócios</w:t>
      </w:r>
      <w:r w:rsidR="00EE495C">
        <w:rPr>
          <w:rFonts w:ascii="Times New Roman" w:hAnsi="Times New Roman" w:cs="Times New Roman"/>
        </w:rPr>
        <w:t xml:space="preserve"> (CPC 15)</w:t>
      </w:r>
      <w:r w:rsidR="00FB7564">
        <w:rPr>
          <w:rFonts w:ascii="Times New Roman" w:hAnsi="Times New Roman" w:cs="Times New Roman"/>
        </w:rPr>
        <w:t>,</w:t>
      </w:r>
      <w:r w:rsidR="002249B6">
        <w:rPr>
          <w:rFonts w:ascii="Times New Roman" w:hAnsi="Times New Roman" w:cs="Times New Roman"/>
        </w:rPr>
        <w:t xml:space="preserve"> dentre outros</w:t>
      </w:r>
      <w:r w:rsidR="00E52AAA">
        <w:rPr>
          <w:rFonts w:ascii="Times New Roman" w:hAnsi="Times New Roman" w:cs="Times New Roman"/>
        </w:rPr>
        <w:t xml:space="preserve">.  </w:t>
      </w:r>
    </w:p>
    <w:p w14:paraId="26058144" w14:textId="37A92915" w:rsidR="00A444E7" w:rsidRDefault="0026342C" w:rsidP="001D0599">
      <w:pPr>
        <w:spacing w:after="120"/>
        <w:ind w:firstLine="709"/>
        <w:jc w:val="both"/>
        <w:rPr>
          <w:rFonts w:ascii="Times New Roman" w:hAnsi="Times New Roman" w:cs="Times New Roman"/>
        </w:rPr>
      </w:pPr>
      <w:r>
        <w:rPr>
          <w:rFonts w:ascii="Times New Roman" w:hAnsi="Times New Roman" w:cs="Times New Roman"/>
        </w:rPr>
        <w:t xml:space="preserve">Nesse contexto, </w:t>
      </w:r>
      <w:r w:rsidR="00B21C65">
        <w:rPr>
          <w:rFonts w:ascii="Times New Roman" w:hAnsi="Times New Roman" w:cs="Times New Roman"/>
        </w:rPr>
        <w:t>tem-se o enunciado do</w:t>
      </w:r>
      <w:r>
        <w:rPr>
          <w:rFonts w:ascii="Times New Roman" w:hAnsi="Times New Roman" w:cs="Times New Roman"/>
        </w:rPr>
        <w:t xml:space="preserve"> problema </w:t>
      </w:r>
      <w:r w:rsidR="00B21C65">
        <w:rPr>
          <w:rFonts w:ascii="Times New Roman" w:hAnsi="Times New Roman" w:cs="Times New Roman"/>
        </w:rPr>
        <w:t>de</w:t>
      </w:r>
      <w:r>
        <w:rPr>
          <w:rFonts w:ascii="Times New Roman" w:hAnsi="Times New Roman" w:cs="Times New Roman"/>
        </w:rPr>
        <w:t xml:space="preserve"> pesquisa</w:t>
      </w:r>
      <w:r w:rsidR="00BE4069">
        <w:rPr>
          <w:rFonts w:ascii="Times New Roman" w:hAnsi="Times New Roman" w:cs="Times New Roman"/>
        </w:rPr>
        <w:t xml:space="preserve">: </w:t>
      </w:r>
      <w:r w:rsidR="00434E9F">
        <w:rPr>
          <w:rFonts w:ascii="Times New Roman" w:hAnsi="Times New Roman" w:cs="Times New Roman"/>
        </w:rPr>
        <w:t xml:space="preserve">considerando os cinco </w:t>
      </w:r>
      <w:r w:rsidR="00F83A22">
        <w:rPr>
          <w:rFonts w:ascii="Times New Roman" w:hAnsi="Times New Roman" w:cs="Times New Roman"/>
        </w:rPr>
        <w:t xml:space="preserve">primeiros </w:t>
      </w:r>
      <w:r w:rsidR="00434E9F">
        <w:rPr>
          <w:rFonts w:ascii="Times New Roman" w:hAnsi="Times New Roman" w:cs="Times New Roman"/>
        </w:rPr>
        <w:t xml:space="preserve">anos de vigência da </w:t>
      </w:r>
      <w:r w:rsidR="004C52A7">
        <w:rPr>
          <w:rFonts w:ascii="Times New Roman" w:hAnsi="Times New Roman" w:cs="Times New Roman"/>
        </w:rPr>
        <w:t>Lei nº 12.973/2014</w:t>
      </w:r>
      <w:r w:rsidR="00434E9F">
        <w:rPr>
          <w:rFonts w:ascii="Times New Roman" w:hAnsi="Times New Roman" w:cs="Times New Roman"/>
        </w:rPr>
        <w:t>,</w:t>
      </w:r>
      <w:r w:rsidR="00BE4069">
        <w:rPr>
          <w:rFonts w:ascii="Times New Roman" w:hAnsi="Times New Roman" w:cs="Times New Roman"/>
        </w:rPr>
        <w:t xml:space="preserve"> </w:t>
      </w:r>
      <w:r w:rsidR="00434E9F">
        <w:rPr>
          <w:rFonts w:ascii="Times New Roman" w:hAnsi="Times New Roman" w:cs="Times New Roman"/>
        </w:rPr>
        <w:t xml:space="preserve">a tributação sobre o lucro </w:t>
      </w:r>
      <w:r w:rsidR="00BE4069">
        <w:rPr>
          <w:rFonts w:ascii="Times New Roman" w:hAnsi="Times New Roman" w:cs="Times New Roman"/>
        </w:rPr>
        <w:t>tem sido neutra em relação</w:t>
      </w:r>
      <w:r w:rsidR="004C52A7">
        <w:rPr>
          <w:rFonts w:ascii="Times New Roman" w:hAnsi="Times New Roman" w:cs="Times New Roman"/>
        </w:rPr>
        <w:t xml:space="preserve"> aos novos métodos e critérios contábeis convergentes com o padrão do</w:t>
      </w:r>
      <w:r w:rsidR="0060284B">
        <w:rPr>
          <w:rFonts w:ascii="Times New Roman" w:hAnsi="Times New Roman" w:cs="Times New Roman"/>
        </w:rPr>
        <w:t>s</w:t>
      </w:r>
      <w:r w:rsidR="004C52A7">
        <w:rPr>
          <w:rFonts w:ascii="Times New Roman" w:hAnsi="Times New Roman" w:cs="Times New Roman"/>
        </w:rPr>
        <w:t xml:space="preserve"> </w:t>
      </w:r>
      <w:proofErr w:type="spellStart"/>
      <w:r w:rsidR="004C52A7" w:rsidRPr="00D257A4">
        <w:rPr>
          <w:rFonts w:ascii="Times New Roman" w:hAnsi="Times New Roman" w:cs="Times New Roman"/>
          <w:i/>
          <w:iCs/>
        </w:rPr>
        <w:t>International</w:t>
      </w:r>
      <w:proofErr w:type="spellEnd"/>
      <w:r w:rsidR="004C52A7" w:rsidRPr="00D257A4">
        <w:rPr>
          <w:rFonts w:ascii="Times New Roman" w:hAnsi="Times New Roman" w:cs="Times New Roman"/>
          <w:i/>
          <w:iCs/>
        </w:rPr>
        <w:t xml:space="preserve"> Financial </w:t>
      </w:r>
      <w:proofErr w:type="spellStart"/>
      <w:r w:rsidR="004C52A7" w:rsidRPr="00D257A4">
        <w:rPr>
          <w:rFonts w:ascii="Times New Roman" w:hAnsi="Times New Roman" w:cs="Times New Roman"/>
          <w:i/>
          <w:iCs/>
        </w:rPr>
        <w:t>Reporting</w:t>
      </w:r>
      <w:proofErr w:type="spellEnd"/>
      <w:r w:rsidR="004C52A7" w:rsidRPr="00D257A4">
        <w:rPr>
          <w:rFonts w:ascii="Times New Roman" w:hAnsi="Times New Roman" w:cs="Times New Roman"/>
          <w:i/>
          <w:iCs/>
        </w:rPr>
        <w:t xml:space="preserve"> Standards</w:t>
      </w:r>
      <w:r w:rsidR="00BE4069">
        <w:rPr>
          <w:rFonts w:ascii="Times New Roman" w:hAnsi="Times New Roman" w:cs="Times New Roman"/>
        </w:rPr>
        <w:t xml:space="preserve"> (</w:t>
      </w:r>
      <w:r w:rsidR="004C52A7" w:rsidRPr="00D257A4">
        <w:rPr>
          <w:rFonts w:ascii="Times New Roman" w:hAnsi="Times New Roman" w:cs="Times New Roman"/>
          <w:i/>
          <w:iCs/>
        </w:rPr>
        <w:t>IFRS</w:t>
      </w:r>
      <w:r w:rsidR="00BE4069">
        <w:rPr>
          <w:rFonts w:ascii="Times New Roman" w:hAnsi="Times New Roman" w:cs="Times New Roman"/>
          <w:i/>
          <w:iCs/>
        </w:rPr>
        <w:t>)</w:t>
      </w:r>
      <w:r>
        <w:rPr>
          <w:rFonts w:ascii="Times New Roman" w:hAnsi="Times New Roman" w:cs="Times New Roman"/>
        </w:rPr>
        <w:t>,</w:t>
      </w:r>
      <w:r w:rsidR="00BE4069">
        <w:rPr>
          <w:rFonts w:ascii="Times New Roman" w:hAnsi="Times New Roman" w:cs="Times New Roman"/>
        </w:rPr>
        <w:t xml:space="preserve"> o</w:t>
      </w:r>
      <w:r w:rsidR="009562F8">
        <w:rPr>
          <w:rFonts w:ascii="Times New Roman" w:hAnsi="Times New Roman" w:cs="Times New Roman"/>
        </w:rPr>
        <w:t>s</w:t>
      </w:r>
      <w:r w:rsidR="00BE4069">
        <w:rPr>
          <w:rFonts w:ascii="Times New Roman" w:hAnsi="Times New Roman" w:cs="Times New Roman"/>
        </w:rPr>
        <w:t xml:space="preserve"> qua</w:t>
      </w:r>
      <w:r w:rsidR="009562F8">
        <w:rPr>
          <w:rFonts w:ascii="Times New Roman" w:hAnsi="Times New Roman" w:cs="Times New Roman"/>
        </w:rPr>
        <w:t>is</w:t>
      </w:r>
      <w:r w:rsidR="00BE4069">
        <w:rPr>
          <w:rFonts w:ascii="Times New Roman" w:hAnsi="Times New Roman" w:cs="Times New Roman"/>
        </w:rPr>
        <w:t xml:space="preserve"> v</w:t>
      </w:r>
      <w:r w:rsidR="009562F8">
        <w:rPr>
          <w:rFonts w:ascii="Times New Roman" w:hAnsi="Times New Roman" w:cs="Times New Roman"/>
        </w:rPr>
        <w:t>ê</w:t>
      </w:r>
      <w:r w:rsidR="00BE4069">
        <w:rPr>
          <w:rFonts w:ascii="Times New Roman" w:hAnsi="Times New Roman" w:cs="Times New Roman"/>
        </w:rPr>
        <w:t>m sendo</w:t>
      </w:r>
      <w:r w:rsidR="004C52A7">
        <w:rPr>
          <w:rFonts w:ascii="Times New Roman" w:hAnsi="Times New Roman" w:cs="Times New Roman"/>
        </w:rPr>
        <w:t xml:space="preserve"> internalizad</w:t>
      </w:r>
      <w:r>
        <w:rPr>
          <w:rFonts w:ascii="Times New Roman" w:hAnsi="Times New Roman" w:cs="Times New Roman"/>
        </w:rPr>
        <w:t>o</w:t>
      </w:r>
      <w:r w:rsidR="009562F8">
        <w:rPr>
          <w:rFonts w:ascii="Times New Roman" w:hAnsi="Times New Roman" w:cs="Times New Roman"/>
        </w:rPr>
        <w:t>s</w:t>
      </w:r>
      <w:r w:rsidR="004C52A7">
        <w:rPr>
          <w:rFonts w:ascii="Times New Roman" w:hAnsi="Times New Roman" w:cs="Times New Roman"/>
        </w:rPr>
        <w:t xml:space="preserve"> pelo Comitê de Pronunciamentos Contábeis – CPC</w:t>
      </w:r>
      <w:r w:rsidR="00BE4069">
        <w:rPr>
          <w:rFonts w:ascii="Times New Roman" w:hAnsi="Times New Roman" w:cs="Times New Roman"/>
        </w:rPr>
        <w:t xml:space="preserve"> e </w:t>
      </w:r>
      <w:r w:rsidR="009562F8">
        <w:rPr>
          <w:rFonts w:ascii="Times New Roman" w:hAnsi="Times New Roman" w:cs="Times New Roman"/>
        </w:rPr>
        <w:t>pelas</w:t>
      </w:r>
      <w:r w:rsidR="00BE4069">
        <w:rPr>
          <w:rFonts w:ascii="Times New Roman" w:hAnsi="Times New Roman" w:cs="Times New Roman"/>
        </w:rPr>
        <w:t xml:space="preserve"> normas</w:t>
      </w:r>
      <w:r w:rsidR="009562F8">
        <w:rPr>
          <w:rFonts w:ascii="Times New Roman" w:hAnsi="Times New Roman" w:cs="Times New Roman"/>
        </w:rPr>
        <w:t xml:space="preserve"> emitidas pelos</w:t>
      </w:r>
      <w:r w:rsidR="00BE4069">
        <w:rPr>
          <w:rFonts w:ascii="Times New Roman" w:hAnsi="Times New Roman" w:cs="Times New Roman"/>
        </w:rPr>
        <w:t xml:space="preserve"> órgãos reguladores</w:t>
      </w:r>
      <w:r w:rsidR="00434E9F">
        <w:rPr>
          <w:rFonts w:ascii="Times New Roman" w:hAnsi="Times New Roman" w:cs="Times New Roman"/>
        </w:rPr>
        <w:t>?</w:t>
      </w:r>
      <w:r w:rsidR="00E52AAA">
        <w:rPr>
          <w:rFonts w:ascii="Times New Roman" w:hAnsi="Times New Roman" w:cs="Times New Roman"/>
        </w:rPr>
        <w:t xml:space="preserve"> </w:t>
      </w:r>
    </w:p>
    <w:p w14:paraId="03895F57" w14:textId="58792BD6" w:rsidR="00EB2686" w:rsidRDefault="004C52A7" w:rsidP="001D0599">
      <w:pPr>
        <w:spacing w:after="120"/>
        <w:ind w:firstLine="709"/>
        <w:jc w:val="both"/>
        <w:rPr>
          <w:rFonts w:ascii="Times New Roman" w:hAnsi="Times New Roman" w:cs="Times New Roman"/>
        </w:rPr>
      </w:pPr>
      <w:r>
        <w:rPr>
          <w:rFonts w:ascii="Times New Roman" w:hAnsi="Times New Roman" w:cs="Times New Roman"/>
        </w:rPr>
        <w:t xml:space="preserve">Sendo assim, o objetivo geral </w:t>
      </w:r>
      <w:r w:rsidR="0026342C">
        <w:rPr>
          <w:rFonts w:ascii="Times New Roman" w:hAnsi="Times New Roman" w:cs="Times New Roman"/>
        </w:rPr>
        <w:t xml:space="preserve">deste estudo foi </w:t>
      </w:r>
      <w:r>
        <w:rPr>
          <w:rFonts w:ascii="Times New Roman" w:hAnsi="Times New Roman" w:cs="Times New Roman"/>
        </w:rPr>
        <w:t xml:space="preserve">o de </w:t>
      </w:r>
      <w:r w:rsidR="00A11F8E">
        <w:rPr>
          <w:rFonts w:ascii="Times New Roman" w:hAnsi="Times New Roman" w:cs="Times New Roman"/>
        </w:rPr>
        <w:t>investig</w:t>
      </w:r>
      <w:r>
        <w:rPr>
          <w:rFonts w:ascii="Times New Roman" w:hAnsi="Times New Roman" w:cs="Times New Roman"/>
        </w:rPr>
        <w:t>ar</w:t>
      </w:r>
      <w:r w:rsidR="00A11F8E">
        <w:rPr>
          <w:rFonts w:ascii="Times New Roman" w:hAnsi="Times New Roman" w:cs="Times New Roman"/>
        </w:rPr>
        <w:t xml:space="preserve"> se o </w:t>
      </w:r>
      <w:r w:rsidR="006F65C5">
        <w:rPr>
          <w:rFonts w:ascii="Times New Roman" w:hAnsi="Times New Roman" w:cs="Times New Roman"/>
        </w:rPr>
        <w:t>tratamento</w:t>
      </w:r>
      <w:r w:rsidR="00A11F8E">
        <w:rPr>
          <w:rFonts w:ascii="Times New Roman" w:hAnsi="Times New Roman" w:cs="Times New Roman"/>
        </w:rPr>
        <w:t xml:space="preserve"> fiscal instituído pela </w:t>
      </w:r>
      <w:r w:rsidR="00340316">
        <w:rPr>
          <w:rFonts w:ascii="Times New Roman" w:hAnsi="Times New Roman" w:cs="Times New Roman"/>
        </w:rPr>
        <w:t>Lei nº 12.973</w:t>
      </w:r>
      <w:r w:rsidR="00BE6A69">
        <w:rPr>
          <w:rFonts w:ascii="Times New Roman" w:hAnsi="Times New Roman" w:cs="Times New Roman"/>
        </w:rPr>
        <w:t>/</w:t>
      </w:r>
      <w:r w:rsidR="00A552D2">
        <w:rPr>
          <w:rFonts w:ascii="Times New Roman" w:hAnsi="Times New Roman" w:cs="Times New Roman"/>
        </w:rPr>
        <w:t>2014</w:t>
      </w:r>
      <w:r w:rsidR="00A11F8E">
        <w:rPr>
          <w:rFonts w:ascii="Times New Roman" w:hAnsi="Times New Roman" w:cs="Times New Roman"/>
        </w:rPr>
        <w:t xml:space="preserve"> </w:t>
      </w:r>
      <w:r w:rsidR="00EC4FF5">
        <w:rPr>
          <w:rFonts w:ascii="Times New Roman" w:hAnsi="Times New Roman" w:cs="Times New Roman"/>
        </w:rPr>
        <w:t xml:space="preserve">para o IRPJ e a CSLL </w:t>
      </w:r>
      <w:r w:rsidR="00B36FFC">
        <w:rPr>
          <w:rFonts w:ascii="Times New Roman" w:hAnsi="Times New Roman" w:cs="Times New Roman"/>
        </w:rPr>
        <w:t>manteve neutra a</w:t>
      </w:r>
      <w:r w:rsidR="00A11F8E">
        <w:rPr>
          <w:rFonts w:ascii="Times New Roman" w:hAnsi="Times New Roman" w:cs="Times New Roman"/>
        </w:rPr>
        <w:t xml:space="preserve"> tributação </w:t>
      </w:r>
      <w:r w:rsidR="00CD01B3">
        <w:rPr>
          <w:rFonts w:ascii="Times New Roman" w:hAnsi="Times New Roman" w:cs="Times New Roman"/>
        </w:rPr>
        <w:t>do</w:t>
      </w:r>
      <w:r w:rsidR="00A11F8E">
        <w:rPr>
          <w:rFonts w:ascii="Times New Roman" w:hAnsi="Times New Roman" w:cs="Times New Roman"/>
        </w:rPr>
        <w:t xml:space="preserve"> lucro</w:t>
      </w:r>
      <w:r w:rsidR="00CD01B3">
        <w:rPr>
          <w:rFonts w:ascii="Times New Roman" w:hAnsi="Times New Roman" w:cs="Times New Roman"/>
        </w:rPr>
        <w:t xml:space="preserve"> </w:t>
      </w:r>
      <w:r w:rsidR="009B3B24">
        <w:rPr>
          <w:rFonts w:ascii="Times New Roman" w:hAnsi="Times New Roman" w:cs="Times New Roman"/>
        </w:rPr>
        <w:t xml:space="preserve">no quinquênio </w:t>
      </w:r>
      <w:r w:rsidR="00CD01B3">
        <w:rPr>
          <w:rFonts w:ascii="Times New Roman" w:hAnsi="Times New Roman" w:cs="Times New Roman"/>
        </w:rPr>
        <w:t xml:space="preserve">de 2015 a 2019 </w:t>
      </w:r>
      <w:r w:rsidR="0043308F">
        <w:rPr>
          <w:rFonts w:ascii="Times New Roman" w:hAnsi="Times New Roman" w:cs="Times New Roman"/>
        </w:rPr>
        <w:t>na comparação o quinquênio de 2010 a 2014, em que vigorou o RTT</w:t>
      </w:r>
      <w:r w:rsidR="003A75C1">
        <w:rPr>
          <w:rFonts w:ascii="Times New Roman" w:hAnsi="Times New Roman" w:cs="Times New Roman"/>
        </w:rPr>
        <w:t>, com</w:t>
      </w:r>
      <w:r w:rsidR="0043308F">
        <w:rPr>
          <w:rFonts w:ascii="Times New Roman" w:hAnsi="Times New Roman" w:cs="Times New Roman"/>
        </w:rPr>
        <w:t xml:space="preserve"> foco nas companhias listadas no cadastro aberto da Comissão de Valores Mobiliários (CVM</w:t>
      </w:r>
      <w:r w:rsidR="0079408D">
        <w:rPr>
          <w:rFonts w:ascii="Times New Roman" w:hAnsi="Times New Roman" w:cs="Times New Roman"/>
        </w:rPr>
        <w:t>, 2020</w:t>
      </w:r>
      <w:r w:rsidR="0043308F">
        <w:rPr>
          <w:rFonts w:ascii="Times New Roman" w:hAnsi="Times New Roman" w:cs="Times New Roman"/>
        </w:rPr>
        <w:t xml:space="preserve">), </w:t>
      </w:r>
      <w:r w:rsidR="00F64298">
        <w:rPr>
          <w:rFonts w:ascii="Times New Roman" w:hAnsi="Times New Roman" w:cs="Times New Roman"/>
        </w:rPr>
        <w:t>divididas em setores</w:t>
      </w:r>
      <w:r w:rsidR="004D5150">
        <w:rPr>
          <w:rFonts w:ascii="Times New Roman" w:hAnsi="Times New Roman" w:cs="Times New Roman"/>
        </w:rPr>
        <w:t xml:space="preserve"> </w:t>
      </w:r>
      <w:r w:rsidR="00F64298">
        <w:rPr>
          <w:rFonts w:ascii="Times New Roman" w:hAnsi="Times New Roman" w:cs="Times New Roman"/>
        </w:rPr>
        <w:t>econômicos</w:t>
      </w:r>
      <w:r w:rsidR="000E71C9">
        <w:rPr>
          <w:rFonts w:ascii="Times New Roman" w:hAnsi="Times New Roman" w:cs="Times New Roman"/>
        </w:rPr>
        <w:t xml:space="preserve">, sendo que </w:t>
      </w:r>
      <w:r w:rsidR="0026342C">
        <w:rPr>
          <w:rFonts w:ascii="Times New Roman" w:hAnsi="Times New Roman" w:cs="Times New Roman"/>
        </w:rPr>
        <w:t>a carga tributária</w:t>
      </w:r>
      <w:r w:rsidR="0043308F">
        <w:rPr>
          <w:rFonts w:ascii="Times New Roman" w:hAnsi="Times New Roman" w:cs="Times New Roman"/>
        </w:rPr>
        <w:t xml:space="preserve"> </w:t>
      </w:r>
      <w:r w:rsidR="000E71C9">
        <w:rPr>
          <w:rFonts w:ascii="Times New Roman" w:hAnsi="Times New Roman" w:cs="Times New Roman"/>
        </w:rPr>
        <w:t xml:space="preserve">foi </w:t>
      </w:r>
      <w:r w:rsidR="0043308F">
        <w:rPr>
          <w:rFonts w:ascii="Times New Roman" w:hAnsi="Times New Roman" w:cs="Times New Roman"/>
        </w:rPr>
        <w:t>calculad</w:t>
      </w:r>
      <w:r w:rsidR="0026342C">
        <w:rPr>
          <w:rFonts w:ascii="Times New Roman" w:hAnsi="Times New Roman" w:cs="Times New Roman"/>
        </w:rPr>
        <w:t>a</w:t>
      </w:r>
      <w:r w:rsidR="00CD01B3">
        <w:rPr>
          <w:rFonts w:ascii="Times New Roman" w:hAnsi="Times New Roman" w:cs="Times New Roman"/>
        </w:rPr>
        <w:t xml:space="preserve"> </w:t>
      </w:r>
      <w:r w:rsidR="0043308F">
        <w:rPr>
          <w:rFonts w:ascii="Times New Roman" w:hAnsi="Times New Roman" w:cs="Times New Roman"/>
        </w:rPr>
        <w:t xml:space="preserve">por intermédio </w:t>
      </w:r>
      <w:r w:rsidR="003578F1">
        <w:rPr>
          <w:rFonts w:ascii="Times New Roman" w:hAnsi="Times New Roman" w:cs="Times New Roman"/>
        </w:rPr>
        <w:t>da</w:t>
      </w:r>
      <w:r w:rsidR="00CD01B3">
        <w:rPr>
          <w:rFonts w:ascii="Times New Roman" w:hAnsi="Times New Roman" w:cs="Times New Roman"/>
        </w:rPr>
        <w:t xml:space="preserve"> </w:t>
      </w:r>
      <w:r w:rsidR="00BC7D86">
        <w:rPr>
          <w:rFonts w:ascii="Times New Roman" w:hAnsi="Times New Roman" w:cs="Times New Roman"/>
        </w:rPr>
        <w:t xml:space="preserve">alíquota </w:t>
      </w:r>
      <w:r w:rsidR="003578F1">
        <w:rPr>
          <w:rFonts w:ascii="Times New Roman" w:hAnsi="Times New Roman" w:cs="Times New Roman"/>
        </w:rPr>
        <w:t xml:space="preserve">tributária </w:t>
      </w:r>
      <w:r w:rsidR="00CD01B3">
        <w:rPr>
          <w:rFonts w:ascii="Times New Roman" w:hAnsi="Times New Roman" w:cs="Times New Roman"/>
        </w:rPr>
        <w:t>efetiva</w:t>
      </w:r>
      <w:r w:rsidR="009B3B24">
        <w:rPr>
          <w:rFonts w:ascii="Times New Roman" w:hAnsi="Times New Roman" w:cs="Times New Roman"/>
        </w:rPr>
        <w:t xml:space="preserve"> (</w:t>
      </w:r>
      <w:r w:rsidR="00CD01B3">
        <w:rPr>
          <w:rFonts w:ascii="Times New Roman" w:hAnsi="Times New Roman" w:cs="Times New Roman"/>
        </w:rPr>
        <w:t>ETR</w:t>
      </w:r>
      <w:r w:rsidR="009B3B24">
        <w:rPr>
          <w:rFonts w:ascii="Times New Roman" w:hAnsi="Times New Roman" w:cs="Times New Roman"/>
        </w:rPr>
        <w:t xml:space="preserve">, </w:t>
      </w:r>
      <w:proofErr w:type="spellStart"/>
      <w:r w:rsidR="008D3F68" w:rsidRPr="008D3F68">
        <w:rPr>
          <w:rFonts w:ascii="Times New Roman" w:hAnsi="Times New Roman" w:cs="Times New Roman"/>
          <w:i/>
          <w:iCs/>
        </w:rPr>
        <w:t>e</w:t>
      </w:r>
      <w:r w:rsidR="00CD01B3" w:rsidRPr="00BD7313">
        <w:rPr>
          <w:rFonts w:ascii="Times New Roman" w:hAnsi="Times New Roman" w:cs="Times New Roman"/>
          <w:i/>
          <w:iCs/>
        </w:rPr>
        <w:t>ffective</w:t>
      </w:r>
      <w:proofErr w:type="spellEnd"/>
      <w:r w:rsidR="00CD01B3" w:rsidRPr="00BD7313">
        <w:rPr>
          <w:rFonts w:ascii="Times New Roman" w:hAnsi="Times New Roman" w:cs="Times New Roman"/>
          <w:i/>
          <w:iCs/>
        </w:rPr>
        <w:t xml:space="preserve"> </w:t>
      </w:r>
      <w:proofErr w:type="spellStart"/>
      <w:r w:rsidR="008D3F68">
        <w:rPr>
          <w:rFonts w:ascii="Times New Roman" w:hAnsi="Times New Roman" w:cs="Times New Roman"/>
          <w:i/>
          <w:iCs/>
        </w:rPr>
        <w:t>t</w:t>
      </w:r>
      <w:r w:rsidR="00CD01B3" w:rsidRPr="00BD7313">
        <w:rPr>
          <w:rFonts w:ascii="Times New Roman" w:hAnsi="Times New Roman" w:cs="Times New Roman"/>
          <w:i/>
          <w:iCs/>
        </w:rPr>
        <w:t>ax</w:t>
      </w:r>
      <w:proofErr w:type="spellEnd"/>
      <w:r w:rsidR="00CD01B3" w:rsidRPr="00BD7313">
        <w:rPr>
          <w:rFonts w:ascii="Times New Roman" w:hAnsi="Times New Roman" w:cs="Times New Roman"/>
          <w:i/>
          <w:iCs/>
        </w:rPr>
        <w:t xml:space="preserve"> </w:t>
      </w:r>
      <w:r w:rsidR="008D3F68">
        <w:rPr>
          <w:rFonts w:ascii="Times New Roman" w:hAnsi="Times New Roman" w:cs="Times New Roman"/>
          <w:i/>
          <w:iCs/>
        </w:rPr>
        <w:t>r</w:t>
      </w:r>
      <w:r w:rsidR="00CD01B3" w:rsidRPr="00BD7313">
        <w:rPr>
          <w:rFonts w:ascii="Times New Roman" w:hAnsi="Times New Roman" w:cs="Times New Roman"/>
          <w:i/>
          <w:iCs/>
        </w:rPr>
        <w:t>ate</w:t>
      </w:r>
      <w:r w:rsidR="00A552D2">
        <w:rPr>
          <w:rFonts w:ascii="Times New Roman" w:hAnsi="Times New Roman" w:cs="Times New Roman"/>
        </w:rPr>
        <w:t>)</w:t>
      </w:r>
      <w:r w:rsidR="00073A36">
        <w:rPr>
          <w:rFonts w:ascii="Times New Roman" w:hAnsi="Times New Roman" w:cs="Times New Roman"/>
        </w:rPr>
        <w:t>.</w:t>
      </w:r>
      <w:r w:rsidR="00EC4FF5">
        <w:rPr>
          <w:rFonts w:ascii="Times New Roman" w:hAnsi="Times New Roman" w:cs="Times New Roman"/>
        </w:rPr>
        <w:t xml:space="preserve"> </w:t>
      </w:r>
    </w:p>
    <w:p w14:paraId="3B93A5A2" w14:textId="5A47B31D" w:rsidR="00761059" w:rsidRDefault="00F83A22" w:rsidP="001D0599">
      <w:pPr>
        <w:spacing w:after="120"/>
        <w:ind w:firstLine="709"/>
        <w:jc w:val="both"/>
        <w:rPr>
          <w:rFonts w:ascii="Times New Roman" w:hAnsi="Times New Roman" w:cs="Times New Roman"/>
        </w:rPr>
      </w:pPr>
      <w:r>
        <w:rPr>
          <w:rFonts w:ascii="Times New Roman" w:hAnsi="Times New Roman" w:cs="Times New Roman"/>
        </w:rPr>
        <w:t>O</w:t>
      </w:r>
      <w:r w:rsidR="00761059">
        <w:rPr>
          <w:rFonts w:ascii="Times New Roman" w:hAnsi="Times New Roman" w:cs="Times New Roman"/>
        </w:rPr>
        <w:t xml:space="preserve"> cálculo da alíquota tributária efetiva (ETR) </w:t>
      </w:r>
      <w:r>
        <w:rPr>
          <w:rFonts w:ascii="Times New Roman" w:hAnsi="Times New Roman" w:cs="Times New Roman"/>
        </w:rPr>
        <w:t>efetuado</w:t>
      </w:r>
      <w:r w:rsidR="00761059">
        <w:rPr>
          <w:rFonts w:ascii="Times New Roman" w:hAnsi="Times New Roman" w:cs="Times New Roman"/>
        </w:rPr>
        <w:t xml:space="preserve"> nesta pesquisa </w:t>
      </w:r>
      <w:r w:rsidR="005C1EAF">
        <w:rPr>
          <w:rFonts w:ascii="Times New Roman" w:hAnsi="Times New Roman" w:cs="Times New Roman"/>
        </w:rPr>
        <w:t xml:space="preserve">para a aferição da carga tributária </w:t>
      </w:r>
      <w:r w:rsidR="00761059">
        <w:rPr>
          <w:rFonts w:ascii="Times New Roman" w:hAnsi="Times New Roman" w:cs="Times New Roman"/>
        </w:rPr>
        <w:t>combin</w:t>
      </w:r>
      <w:r w:rsidR="005C1EAF">
        <w:rPr>
          <w:rFonts w:ascii="Times New Roman" w:hAnsi="Times New Roman" w:cs="Times New Roman"/>
        </w:rPr>
        <w:t>ou</w:t>
      </w:r>
      <w:r w:rsidR="00761059">
        <w:rPr>
          <w:rFonts w:ascii="Times New Roman" w:hAnsi="Times New Roman" w:cs="Times New Roman"/>
        </w:rPr>
        <w:t xml:space="preserve"> as metodologias </w:t>
      </w:r>
      <w:proofErr w:type="spellStart"/>
      <w:r w:rsidR="00761059" w:rsidRPr="00CD5BE6">
        <w:rPr>
          <w:rFonts w:ascii="Times New Roman" w:hAnsi="Times New Roman" w:cs="Times New Roman"/>
          <w:i/>
          <w:iCs/>
        </w:rPr>
        <w:t>long-run</w:t>
      </w:r>
      <w:proofErr w:type="spellEnd"/>
      <w:r w:rsidR="00761059" w:rsidRPr="00CD5BE6">
        <w:rPr>
          <w:rFonts w:ascii="Times New Roman" w:hAnsi="Times New Roman" w:cs="Times New Roman"/>
          <w:i/>
          <w:iCs/>
        </w:rPr>
        <w:t xml:space="preserve"> </w:t>
      </w:r>
      <w:proofErr w:type="spellStart"/>
      <w:r w:rsidR="00761059" w:rsidRPr="00CD5BE6">
        <w:rPr>
          <w:rFonts w:ascii="Times New Roman" w:hAnsi="Times New Roman" w:cs="Times New Roman"/>
          <w:i/>
          <w:iCs/>
        </w:rPr>
        <w:t>effective</w:t>
      </w:r>
      <w:proofErr w:type="spellEnd"/>
      <w:r w:rsidR="00761059" w:rsidRPr="00CD5BE6">
        <w:rPr>
          <w:rFonts w:ascii="Times New Roman" w:hAnsi="Times New Roman" w:cs="Times New Roman"/>
          <w:i/>
          <w:iCs/>
        </w:rPr>
        <w:t xml:space="preserve"> </w:t>
      </w:r>
      <w:proofErr w:type="spellStart"/>
      <w:r w:rsidR="00761059" w:rsidRPr="00CD5BE6">
        <w:rPr>
          <w:rFonts w:ascii="Times New Roman" w:hAnsi="Times New Roman" w:cs="Times New Roman"/>
          <w:i/>
          <w:iCs/>
        </w:rPr>
        <w:t>tax</w:t>
      </w:r>
      <w:proofErr w:type="spellEnd"/>
      <w:r w:rsidR="00761059" w:rsidRPr="00CD5BE6">
        <w:rPr>
          <w:rFonts w:ascii="Times New Roman" w:hAnsi="Times New Roman" w:cs="Times New Roman"/>
          <w:i/>
          <w:iCs/>
        </w:rPr>
        <w:t xml:space="preserve"> rate</w:t>
      </w:r>
      <w:r w:rsidR="00761059">
        <w:rPr>
          <w:rFonts w:ascii="Times New Roman" w:hAnsi="Times New Roman" w:cs="Times New Roman"/>
        </w:rPr>
        <w:t xml:space="preserve"> (</w:t>
      </w:r>
      <w:proofErr w:type="spellStart"/>
      <w:r w:rsidR="00761059">
        <w:rPr>
          <w:rFonts w:ascii="Times New Roman" w:hAnsi="Times New Roman" w:cs="Times New Roman"/>
        </w:rPr>
        <w:t>CashETR</w:t>
      </w:r>
      <w:proofErr w:type="spellEnd"/>
      <w:r w:rsidR="00761059">
        <w:rPr>
          <w:rFonts w:ascii="Times New Roman" w:hAnsi="Times New Roman" w:cs="Times New Roman"/>
        </w:rPr>
        <w:t>), ETR corrente (</w:t>
      </w:r>
      <w:proofErr w:type="spellStart"/>
      <w:r w:rsidR="00761059">
        <w:rPr>
          <w:rFonts w:ascii="Times New Roman" w:hAnsi="Times New Roman" w:cs="Times New Roman"/>
        </w:rPr>
        <w:t>ETRc</w:t>
      </w:r>
      <w:proofErr w:type="spellEnd"/>
      <w:r w:rsidR="00761059">
        <w:rPr>
          <w:rFonts w:ascii="Times New Roman" w:hAnsi="Times New Roman" w:cs="Times New Roman"/>
        </w:rPr>
        <w:t>) e ETR total (</w:t>
      </w:r>
      <w:proofErr w:type="spellStart"/>
      <w:r w:rsidR="00761059">
        <w:rPr>
          <w:rFonts w:ascii="Times New Roman" w:hAnsi="Times New Roman" w:cs="Times New Roman"/>
        </w:rPr>
        <w:t>ETRt</w:t>
      </w:r>
      <w:proofErr w:type="spellEnd"/>
      <w:r w:rsidR="00761059">
        <w:rPr>
          <w:rFonts w:ascii="Times New Roman" w:hAnsi="Times New Roman" w:cs="Times New Roman"/>
        </w:rPr>
        <w:t>)</w:t>
      </w:r>
      <w:r w:rsidR="000A76D6">
        <w:rPr>
          <w:rFonts w:ascii="Times New Roman" w:hAnsi="Times New Roman" w:cs="Times New Roman"/>
        </w:rPr>
        <w:t xml:space="preserve">, </w:t>
      </w:r>
      <w:r w:rsidR="009562F8">
        <w:rPr>
          <w:rFonts w:ascii="Times New Roman" w:hAnsi="Times New Roman" w:cs="Times New Roman"/>
        </w:rPr>
        <w:t>uma vez</w:t>
      </w:r>
      <w:r w:rsidR="000A76D6">
        <w:rPr>
          <w:rFonts w:ascii="Times New Roman" w:hAnsi="Times New Roman" w:cs="Times New Roman"/>
        </w:rPr>
        <w:t xml:space="preserve"> que as </w:t>
      </w:r>
      <w:r w:rsidR="005C1EAF">
        <w:rPr>
          <w:rFonts w:ascii="Times New Roman" w:hAnsi="Times New Roman" w:cs="Times New Roman"/>
        </w:rPr>
        <w:t>variáveis</w:t>
      </w:r>
      <w:r w:rsidR="000A76D6">
        <w:rPr>
          <w:rFonts w:ascii="Times New Roman" w:hAnsi="Times New Roman" w:cs="Times New Roman"/>
        </w:rPr>
        <w:t xml:space="preserve"> foram mensuradas</w:t>
      </w:r>
      <w:r w:rsidR="005C1EAF">
        <w:rPr>
          <w:rFonts w:ascii="Times New Roman" w:hAnsi="Times New Roman" w:cs="Times New Roman"/>
        </w:rPr>
        <w:t xml:space="preserve"> em períodos de cinco anos, considerando as despesas correntes e totais do IRPJ e da CSLL</w:t>
      </w:r>
      <w:r w:rsidR="00761059">
        <w:rPr>
          <w:rFonts w:ascii="Times New Roman" w:hAnsi="Times New Roman" w:cs="Times New Roman"/>
        </w:rPr>
        <w:t>.</w:t>
      </w:r>
      <w:r w:rsidR="005C1EAF">
        <w:rPr>
          <w:rFonts w:ascii="Times New Roman" w:hAnsi="Times New Roman" w:cs="Times New Roman"/>
        </w:rPr>
        <w:t xml:space="preserve"> Destarte, as variáveis quantificadas foram aqui </w:t>
      </w:r>
      <w:r w:rsidR="009562F8">
        <w:rPr>
          <w:rFonts w:ascii="Times New Roman" w:hAnsi="Times New Roman" w:cs="Times New Roman"/>
        </w:rPr>
        <w:t>denominadas</w:t>
      </w:r>
      <w:r w:rsidR="005C1EAF">
        <w:rPr>
          <w:rFonts w:ascii="Times New Roman" w:hAnsi="Times New Roman" w:cs="Times New Roman"/>
        </w:rPr>
        <w:t xml:space="preserve"> de </w:t>
      </w:r>
      <w:proofErr w:type="spellStart"/>
      <w:r w:rsidR="005C1EAF">
        <w:rPr>
          <w:rFonts w:ascii="Times New Roman" w:hAnsi="Times New Roman" w:cs="Times New Roman"/>
        </w:rPr>
        <w:t>CashETR</w:t>
      </w:r>
      <w:r w:rsidR="00434E9F">
        <w:rPr>
          <w:rFonts w:ascii="Times New Roman" w:hAnsi="Times New Roman" w:cs="Times New Roman"/>
        </w:rPr>
        <w:t>c</w:t>
      </w:r>
      <w:proofErr w:type="spellEnd"/>
      <w:r w:rsidR="005C1EAF">
        <w:rPr>
          <w:rFonts w:ascii="Times New Roman" w:hAnsi="Times New Roman" w:cs="Times New Roman"/>
        </w:rPr>
        <w:t xml:space="preserve"> e </w:t>
      </w:r>
      <w:proofErr w:type="spellStart"/>
      <w:r w:rsidR="005C1EAF">
        <w:rPr>
          <w:rFonts w:ascii="Times New Roman" w:hAnsi="Times New Roman" w:cs="Times New Roman"/>
        </w:rPr>
        <w:t>CashETR</w:t>
      </w:r>
      <w:r w:rsidR="00434E9F">
        <w:rPr>
          <w:rFonts w:ascii="Times New Roman" w:hAnsi="Times New Roman" w:cs="Times New Roman"/>
        </w:rPr>
        <w:t>t</w:t>
      </w:r>
      <w:proofErr w:type="spellEnd"/>
      <w:r w:rsidR="005C1EAF">
        <w:rPr>
          <w:rFonts w:ascii="Times New Roman" w:hAnsi="Times New Roman" w:cs="Times New Roman"/>
        </w:rPr>
        <w:t xml:space="preserve">, </w:t>
      </w:r>
      <w:r w:rsidR="00434E9F">
        <w:rPr>
          <w:rFonts w:ascii="Times New Roman" w:hAnsi="Times New Roman" w:cs="Times New Roman"/>
        </w:rPr>
        <w:t xml:space="preserve">as quais </w:t>
      </w:r>
      <w:r w:rsidR="005C1EAF">
        <w:rPr>
          <w:rFonts w:ascii="Times New Roman" w:hAnsi="Times New Roman" w:cs="Times New Roman"/>
        </w:rPr>
        <w:t>dize</w:t>
      </w:r>
      <w:r w:rsidR="00434E9F">
        <w:rPr>
          <w:rFonts w:ascii="Times New Roman" w:hAnsi="Times New Roman" w:cs="Times New Roman"/>
        </w:rPr>
        <w:t>m</w:t>
      </w:r>
      <w:r w:rsidR="005C1EAF">
        <w:rPr>
          <w:rFonts w:ascii="Times New Roman" w:hAnsi="Times New Roman" w:cs="Times New Roman"/>
        </w:rPr>
        <w:t xml:space="preserve"> respeito às cargas tributárias </w:t>
      </w:r>
      <w:r w:rsidR="00434E9F">
        <w:rPr>
          <w:rFonts w:ascii="Times New Roman" w:hAnsi="Times New Roman" w:cs="Times New Roman"/>
        </w:rPr>
        <w:t>corrente e total</w:t>
      </w:r>
      <w:r w:rsidR="005C1EAF">
        <w:rPr>
          <w:rFonts w:ascii="Times New Roman" w:hAnsi="Times New Roman" w:cs="Times New Roman"/>
        </w:rPr>
        <w:t xml:space="preserve"> incidentes sobre o LAIR, respectivamente.</w:t>
      </w:r>
    </w:p>
    <w:p w14:paraId="516D902F" w14:textId="0BAF5207" w:rsidR="00761059" w:rsidRDefault="00761059" w:rsidP="001D0599">
      <w:pPr>
        <w:spacing w:after="120"/>
        <w:ind w:firstLine="709"/>
        <w:jc w:val="both"/>
        <w:rPr>
          <w:rFonts w:ascii="Times New Roman" w:hAnsi="Times New Roman" w:cs="Times New Roman"/>
        </w:rPr>
      </w:pPr>
      <w:r>
        <w:rPr>
          <w:rFonts w:ascii="Times New Roman" w:hAnsi="Times New Roman" w:cs="Times New Roman"/>
        </w:rPr>
        <w:t xml:space="preserve">Com </w:t>
      </w:r>
      <w:r w:rsidR="000A76D6">
        <w:rPr>
          <w:rFonts w:ascii="Times New Roman" w:hAnsi="Times New Roman" w:cs="Times New Roman"/>
        </w:rPr>
        <w:t>base</w:t>
      </w:r>
      <w:r>
        <w:rPr>
          <w:rFonts w:ascii="Times New Roman" w:hAnsi="Times New Roman" w:cs="Times New Roman"/>
        </w:rPr>
        <w:t xml:space="preserve"> no referencial teórico, não se espera</w:t>
      </w:r>
      <w:r w:rsidR="005C1EAF">
        <w:rPr>
          <w:rFonts w:ascii="Times New Roman" w:hAnsi="Times New Roman" w:cs="Times New Roman"/>
        </w:rPr>
        <w:t>va</w:t>
      </w:r>
      <w:r>
        <w:rPr>
          <w:rFonts w:ascii="Times New Roman" w:hAnsi="Times New Roman" w:cs="Times New Roman"/>
        </w:rPr>
        <w:t xml:space="preserve"> verificar diferenças estatisticamente significativas entre as </w:t>
      </w:r>
      <w:proofErr w:type="spellStart"/>
      <w:r>
        <w:rPr>
          <w:rFonts w:ascii="Times New Roman" w:hAnsi="Times New Roman" w:cs="Times New Roman"/>
        </w:rPr>
        <w:t>CashETRt</w:t>
      </w:r>
      <w:proofErr w:type="spellEnd"/>
      <w:r>
        <w:rPr>
          <w:rFonts w:ascii="Times New Roman" w:hAnsi="Times New Roman" w:cs="Times New Roman"/>
        </w:rPr>
        <w:t xml:space="preserve"> calculadas nos quinquênios de 2015 a 2019 e 2010 a 2014 para as companhias dos setores não-financeiros (comércio, indústria, serviços e exploração de imóveis). A razão disso é que as adições e exclusões estabelecidas pela Lei nº 12.973/2014 objetivaram a neutralidade</w:t>
      </w:r>
      <w:r w:rsidR="00434E9F">
        <w:rPr>
          <w:rFonts w:ascii="Times New Roman" w:hAnsi="Times New Roman" w:cs="Times New Roman"/>
        </w:rPr>
        <w:t xml:space="preserve"> na cobrança do</w:t>
      </w:r>
      <w:r>
        <w:rPr>
          <w:rFonts w:ascii="Times New Roman" w:hAnsi="Times New Roman" w:cs="Times New Roman"/>
        </w:rPr>
        <w:t xml:space="preserve"> IRPJ e </w:t>
      </w:r>
      <w:r w:rsidR="00434E9F">
        <w:rPr>
          <w:rFonts w:ascii="Times New Roman" w:hAnsi="Times New Roman" w:cs="Times New Roman"/>
        </w:rPr>
        <w:t>d</w:t>
      </w:r>
      <w:r>
        <w:rPr>
          <w:rFonts w:ascii="Times New Roman" w:hAnsi="Times New Roman" w:cs="Times New Roman"/>
        </w:rPr>
        <w:t xml:space="preserve">a CSLL, de </w:t>
      </w:r>
      <w:r w:rsidR="000A76D6">
        <w:rPr>
          <w:rFonts w:ascii="Times New Roman" w:hAnsi="Times New Roman" w:cs="Times New Roman"/>
        </w:rPr>
        <w:t>maneira</w:t>
      </w:r>
      <w:r>
        <w:rPr>
          <w:rFonts w:ascii="Times New Roman" w:hAnsi="Times New Roman" w:cs="Times New Roman"/>
        </w:rPr>
        <w:t xml:space="preserve"> que se sup</w:t>
      </w:r>
      <w:r w:rsidR="005C1EAF">
        <w:rPr>
          <w:rFonts w:ascii="Times New Roman" w:hAnsi="Times New Roman" w:cs="Times New Roman"/>
        </w:rPr>
        <w:t>ôs</w:t>
      </w:r>
      <w:r>
        <w:rPr>
          <w:rFonts w:ascii="Times New Roman" w:hAnsi="Times New Roman" w:cs="Times New Roman"/>
        </w:rPr>
        <w:t xml:space="preserve"> que as variações na tributação corrente do lucro s</w:t>
      </w:r>
      <w:r w:rsidR="005C1EAF">
        <w:rPr>
          <w:rFonts w:ascii="Times New Roman" w:hAnsi="Times New Roman" w:cs="Times New Roman"/>
        </w:rPr>
        <w:t>eriam</w:t>
      </w:r>
      <w:r>
        <w:rPr>
          <w:rFonts w:ascii="Times New Roman" w:hAnsi="Times New Roman" w:cs="Times New Roman"/>
        </w:rPr>
        <w:t xml:space="preserve"> contrabalanceadas pela realização de ativos fiscais diferidos e</w:t>
      </w:r>
      <w:r w:rsidR="000A76D6">
        <w:rPr>
          <w:rFonts w:ascii="Times New Roman" w:hAnsi="Times New Roman" w:cs="Times New Roman"/>
        </w:rPr>
        <w:t>/ou</w:t>
      </w:r>
      <w:r>
        <w:rPr>
          <w:rFonts w:ascii="Times New Roman" w:hAnsi="Times New Roman" w:cs="Times New Roman"/>
        </w:rPr>
        <w:t xml:space="preserve"> pela liquidação de passivos fiscais diferidos. </w:t>
      </w:r>
    </w:p>
    <w:p w14:paraId="73412DDE" w14:textId="7447D435" w:rsidR="00761059" w:rsidRDefault="00761059" w:rsidP="001D0599">
      <w:pPr>
        <w:spacing w:after="120"/>
        <w:ind w:firstLine="709"/>
        <w:jc w:val="both"/>
        <w:rPr>
          <w:rFonts w:ascii="Times New Roman" w:hAnsi="Times New Roman" w:cs="Times New Roman"/>
        </w:rPr>
      </w:pPr>
      <w:r>
        <w:rPr>
          <w:rFonts w:ascii="Times New Roman" w:hAnsi="Times New Roman" w:cs="Times New Roman"/>
        </w:rPr>
        <w:t xml:space="preserve">Contrariamente, em virtude da ampliação do rol das diferenças temporárias </w:t>
      </w:r>
      <w:r w:rsidR="00B21C65">
        <w:rPr>
          <w:rFonts w:ascii="Times New Roman" w:hAnsi="Times New Roman" w:cs="Times New Roman"/>
        </w:rPr>
        <w:t>pela</w:t>
      </w:r>
      <w:r>
        <w:rPr>
          <w:rFonts w:ascii="Times New Roman" w:hAnsi="Times New Roman" w:cs="Times New Roman"/>
        </w:rPr>
        <w:t xml:space="preserve"> Lei nº 12.973/2014 </w:t>
      </w:r>
      <w:r w:rsidR="00B87594">
        <w:rPr>
          <w:rFonts w:ascii="Times New Roman" w:hAnsi="Times New Roman" w:cs="Times New Roman"/>
        </w:rPr>
        <w:t xml:space="preserve">este estudo </w:t>
      </w:r>
      <w:r w:rsidR="00F83A22">
        <w:rPr>
          <w:rFonts w:ascii="Times New Roman" w:hAnsi="Times New Roman" w:cs="Times New Roman"/>
        </w:rPr>
        <w:t>considera</w:t>
      </w:r>
      <w:r w:rsidR="00B87594">
        <w:rPr>
          <w:rFonts w:ascii="Times New Roman" w:hAnsi="Times New Roman" w:cs="Times New Roman"/>
        </w:rPr>
        <w:t>va</w:t>
      </w:r>
      <w:r w:rsidR="009562F8">
        <w:rPr>
          <w:rFonts w:ascii="Times New Roman" w:hAnsi="Times New Roman" w:cs="Times New Roman"/>
        </w:rPr>
        <w:t xml:space="preserve"> como </w:t>
      </w:r>
      <w:r w:rsidR="005C1EAF">
        <w:rPr>
          <w:rFonts w:ascii="Times New Roman" w:hAnsi="Times New Roman" w:cs="Times New Roman"/>
        </w:rPr>
        <w:t xml:space="preserve">possível a </w:t>
      </w:r>
      <w:r w:rsidR="00BF779F">
        <w:rPr>
          <w:rFonts w:ascii="Times New Roman" w:hAnsi="Times New Roman" w:cs="Times New Roman"/>
        </w:rPr>
        <w:t>ocorrência de</w:t>
      </w:r>
      <w:r w:rsidR="005C1EAF">
        <w:rPr>
          <w:rFonts w:ascii="Times New Roman" w:hAnsi="Times New Roman" w:cs="Times New Roman"/>
        </w:rPr>
        <w:t xml:space="preserve"> </w:t>
      </w:r>
      <w:r>
        <w:rPr>
          <w:rFonts w:ascii="Times New Roman" w:hAnsi="Times New Roman" w:cs="Times New Roman"/>
        </w:rPr>
        <w:t xml:space="preserve">variações estatisticamente significativas entre as </w:t>
      </w:r>
      <w:proofErr w:type="spellStart"/>
      <w:r>
        <w:rPr>
          <w:rFonts w:ascii="Times New Roman" w:hAnsi="Times New Roman" w:cs="Times New Roman"/>
        </w:rPr>
        <w:t>CashETRc</w:t>
      </w:r>
      <w:proofErr w:type="spellEnd"/>
      <w:r>
        <w:rPr>
          <w:rFonts w:ascii="Times New Roman" w:hAnsi="Times New Roman" w:cs="Times New Roman"/>
        </w:rPr>
        <w:t xml:space="preserve"> das companhias dos setores não-financeiros (comércio, indústria, serviços e exploração de imóveis) calculadas nos quinquênios comparados. </w:t>
      </w:r>
    </w:p>
    <w:p w14:paraId="268992D7" w14:textId="09B67F08" w:rsidR="00761059" w:rsidRDefault="00761059" w:rsidP="001D0599">
      <w:pPr>
        <w:spacing w:after="120"/>
        <w:ind w:firstLine="709"/>
        <w:jc w:val="both"/>
        <w:rPr>
          <w:rFonts w:ascii="Times New Roman" w:hAnsi="Times New Roman" w:cs="Times New Roman"/>
        </w:rPr>
      </w:pPr>
      <w:r>
        <w:rPr>
          <w:rFonts w:ascii="Times New Roman" w:hAnsi="Times New Roman" w:cs="Times New Roman"/>
        </w:rPr>
        <w:t xml:space="preserve">Além disso, </w:t>
      </w:r>
      <w:r w:rsidR="00BF779F">
        <w:rPr>
          <w:rFonts w:ascii="Times New Roman" w:hAnsi="Times New Roman" w:cs="Times New Roman"/>
        </w:rPr>
        <w:t>era</w:t>
      </w:r>
      <w:r>
        <w:rPr>
          <w:rFonts w:ascii="Times New Roman" w:hAnsi="Times New Roman" w:cs="Times New Roman"/>
        </w:rPr>
        <w:t xml:space="preserve"> esperado que as</w:t>
      </w:r>
      <w:r w:rsidR="00B87594">
        <w:rPr>
          <w:rFonts w:ascii="Times New Roman" w:hAnsi="Times New Roman" w:cs="Times New Roman"/>
        </w:rPr>
        <w:t xml:space="preserve"> variáveis</w:t>
      </w:r>
      <w:r>
        <w:rPr>
          <w:rFonts w:ascii="Times New Roman" w:hAnsi="Times New Roman" w:cs="Times New Roman"/>
        </w:rPr>
        <w:t xml:space="preserve"> </w:t>
      </w:r>
      <w:proofErr w:type="spellStart"/>
      <w:r>
        <w:rPr>
          <w:rFonts w:ascii="Times New Roman" w:hAnsi="Times New Roman" w:cs="Times New Roman"/>
        </w:rPr>
        <w:t>CashETRc</w:t>
      </w:r>
      <w:proofErr w:type="spellEnd"/>
      <w:r>
        <w:rPr>
          <w:rFonts w:ascii="Times New Roman" w:hAnsi="Times New Roman" w:cs="Times New Roman"/>
        </w:rPr>
        <w:t xml:space="preserve"> e </w:t>
      </w:r>
      <w:proofErr w:type="spellStart"/>
      <w:r>
        <w:rPr>
          <w:rFonts w:ascii="Times New Roman" w:hAnsi="Times New Roman" w:cs="Times New Roman"/>
        </w:rPr>
        <w:t>CashETRt</w:t>
      </w:r>
      <w:proofErr w:type="spellEnd"/>
      <w:r>
        <w:rPr>
          <w:rFonts w:ascii="Times New Roman" w:hAnsi="Times New Roman" w:cs="Times New Roman"/>
        </w:rPr>
        <w:t xml:space="preserve"> das companhias do setor financeiro (bancos, seguradoras e outros serviços congêneres) </w:t>
      </w:r>
      <w:r w:rsidR="00BF779F">
        <w:rPr>
          <w:rFonts w:ascii="Times New Roman" w:hAnsi="Times New Roman" w:cs="Times New Roman"/>
        </w:rPr>
        <w:t>tivessem</w:t>
      </w:r>
      <w:r>
        <w:rPr>
          <w:rFonts w:ascii="Times New Roman" w:hAnsi="Times New Roman" w:cs="Times New Roman"/>
        </w:rPr>
        <w:t xml:space="preserve"> sofrido aumento</w:t>
      </w:r>
      <w:r w:rsidR="009562F8">
        <w:rPr>
          <w:rFonts w:ascii="Times New Roman" w:hAnsi="Times New Roman" w:cs="Times New Roman"/>
        </w:rPr>
        <w:t xml:space="preserve"> </w:t>
      </w:r>
      <w:r w:rsidR="009562F8">
        <w:rPr>
          <w:rFonts w:ascii="Times New Roman" w:hAnsi="Times New Roman" w:cs="Times New Roman"/>
        </w:rPr>
        <w:lastRenderedPageBreak/>
        <w:t>sob a vigência da Lei nº 12.973/2014</w:t>
      </w:r>
      <w:r>
        <w:rPr>
          <w:rFonts w:ascii="Times New Roman" w:hAnsi="Times New Roman" w:cs="Times New Roman"/>
        </w:rPr>
        <w:t xml:space="preserve"> haja vista a majoração das alíquotas da CSLL</w:t>
      </w:r>
      <w:r w:rsidRPr="00292ABE">
        <w:rPr>
          <w:rFonts w:ascii="Times New Roman" w:hAnsi="Times New Roman" w:cs="Times New Roman"/>
        </w:rPr>
        <w:t xml:space="preserve"> </w:t>
      </w:r>
      <w:r>
        <w:rPr>
          <w:rFonts w:ascii="Times New Roman" w:hAnsi="Times New Roman" w:cs="Times New Roman"/>
        </w:rPr>
        <w:t xml:space="preserve">para essas pessoas jurídicas de 15% para 20% no período de setembro de 2015 a dezembro de 2018, de acordo o disposto nas Leis nº 11.727/2008 e nº 13.269/2015. </w:t>
      </w:r>
    </w:p>
    <w:p w14:paraId="06D2F8E2" w14:textId="2380FC50" w:rsidR="00761059" w:rsidRDefault="00761059" w:rsidP="001D0599">
      <w:pPr>
        <w:spacing w:after="120"/>
        <w:ind w:firstLine="709"/>
        <w:jc w:val="both"/>
        <w:rPr>
          <w:rFonts w:ascii="Times New Roman" w:hAnsi="Times New Roman" w:cs="Times New Roman"/>
        </w:rPr>
      </w:pPr>
      <w:r>
        <w:rPr>
          <w:rFonts w:ascii="Times New Roman" w:hAnsi="Times New Roman" w:cs="Times New Roman"/>
        </w:rPr>
        <w:t xml:space="preserve">Assim, </w:t>
      </w:r>
      <w:r w:rsidR="009562F8">
        <w:rPr>
          <w:rFonts w:ascii="Times New Roman" w:hAnsi="Times New Roman" w:cs="Times New Roman"/>
        </w:rPr>
        <w:t>foram testadas</w:t>
      </w:r>
      <w:r>
        <w:rPr>
          <w:rFonts w:ascii="Times New Roman" w:hAnsi="Times New Roman" w:cs="Times New Roman"/>
        </w:rPr>
        <w:t xml:space="preserve"> as hipóteses nulas H1</w:t>
      </w:r>
      <w:r w:rsidRPr="007762DB">
        <w:rPr>
          <w:rFonts w:ascii="Times New Roman" w:hAnsi="Times New Roman" w:cs="Times New Roman"/>
          <w:kern w:val="24"/>
          <w:vertAlign w:val="subscript"/>
        </w:rPr>
        <w:t>0</w:t>
      </w:r>
      <w:r>
        <w:rPr>
          <w:rFonts w:ascii="Times New Roman" w:hAnsi="Times New Roman" w:cs="Times New Roman"/>
        </w:rPr>
        <w:t xml:space="preserve"> e H2</w:t>
      </w:r>
      <w:r w:rsidRPr="007762DB">
        <w:rPr>
          <w:rFonts w:ascii="Times New Roman" w:hAnsi="Times New Roman" w:cs="Times New Roman"/>
          <w:kern w:val="24"/>
          <w:vertAlign w:val="subscript"/>
        </w:rPr>
        <w:t>0</w:t>
      </w:r>
      <w:r>
        <w:rPr>
          <w:rFonts w:ascii="Times New Roman" w:hAnsi="Times New Roman" w:cs="Times New Roman"/>
        </w:rPr>
        <w:t xml:space="preserve">, </w:t>
      </w:r>
      <w:r w:rsidR="000F4C71">
        <w:rPr>
          <w:rFonts w:ascii="Times New Roman" w:hAnsi="Times New Roman" w:cs="Times New Roman"/>
        </w:rPr>
        <w:t>abaixo enunciadas juntamente com as hipóteses</w:t>
      </w:r>
      <w:r>
        <w:rPr>
          <w:rFonts w:ascii="Times New Roman" w:hAnsi="Times New Roman" w:cs="Times New Roman"/>
        </w:rPr>
        <w:t xml:space="preserve"> alternativas H2</w:t>
      </w:r>
      <w:r>
        <w:rPr>
          <w:rFonts w:ascii="Times New Roman" w:hAnsi="Times New Roman" w:cs="Times New Roman"/>
          <w:kern w:val="24"/>
          <w:vertAlign w:val="subscript"/>
        </w:rPr>
        <w:t>1</w:t>
      </w:r>
      <w:r>
        <w:rPr>
          <w:rFonts w:ascii="Times New Roman" w:hAnsi="Times New Roman" w:cs="Times New Roman"/>
        </w:rPr>
        <w:t xml:space="preserve"> e H1</w:t>
      </w:r>
      <w:r>
        <w:rPr>
          <w:rFonts w:ascii="Times New Roman" w:hAnsi="Times New Roman" w:cs="Times New Roman"/>
          <w:kern w:val="24"/>
          <w:vertAlign w:val="subscript"/>
        </w:rPr>
        <w:t>1</w:t>
      </w:r>
      <w:r>
        <w:rPr>
          <w:rFonts w:ascii="Times New Roman" w:hAnsi="Times New Roman" w:cs="Times New Roman"/>
        </w:rPr>
        <w:t xml:space="preserve">: </w:t>
      </w:r>
    </w:p>
    <w:p w14:paraId="66A2A11C" w14:textId="362203CD" w:rsidR="00761059" w:rsidRPr="00761059" w:rsidRDefault="00761059" w:rsidP="00761059">
      <w:pPr>
        <w:pStyle w:val="PargrafodaLista"/>
        <w:numPr>
          <w:ilvl w:val="0"/>
          <w:numId w:val="1"/>
        </w:numPr>
        <w:spacing w:after="120"/>
        <w:jc w:val="both"/>
        <w:rPr>
          <w:rFonts w:ascii="Times New Roman" w:hAnsi="Times New Roman" w:cs="Times New Roman"/>
        </w:rPr>
      </w:pPr>
      <w:r w:rsidRPr="00761059">
        <w:rPr>
          <w:rFonts w:ascii="Times New Roman" w:hAnsi="Times New Roman" w:cs="Times New Roman"/>
          <w:b/>
          <w:bCs/>
        </w:rPr>
        <w:t>Hipótese Nula H1</w:t>
      </w:r>
      <w:r w:rsidRPr="00761059">
        <w:rPr>
          <w:rFonts w:ascii="Times New Roman" w:hAnsi="Times New Roman" w:cs="Times New Roman"/>
          <w:b/>
          <w:bCs/>
          <w:kern w:val="24"/>
          <w:vertAlign w:val="subscript"/>
        </w:rPr>
        <w:t>0</w:t>
      </w:r>
      <w:r w:rsidRPr="00761059">
        <w:rPr>
          <w:rFonts w:ascii="Times New Roman" w:hAnsi="Times New Roman" w:cs="Times New Roman"/>
        </w:rPr>
        <w:t>: não h</w:t>
      </w:r>
      <w:r w:rsidR="009562F8">
        <w:rPr>
          <w:rFonts w:ascii="Times New Roman" w:hAnsi="Times New Roman" w:cs="Times New Roman"/>
        </w:rPr>
        <w:t>ouve</w:t>
      </w:r>
      <w:r w:rsidRPr="00761059">
        <w:rPr>
          <w:rFonts w:ascii="Times New Roman" w:hAnsi="Times New Roman" w:cs="Times New Roman"/>
        </w:rPr>
        <w:t xml:space="preserve"> diferença estatisticamente significativa entre as </w:t>
      </w:r>
      <w:proofErr w:type="spellStart"/>
      <w:r w:rsidRPr="00761059">
        <w:rPr>
          <w:rFonts w:ascii="Times New Roman" w:hAnsi="Times New Roman" w:cs="Times New Roman"/>
        </w:rPr>
        <w:t>CashETRt</w:t>
      </w:r>
      <w:proofErr w:type="spellEnd"/>
      <w:r w:rsidRPr="00761059">
        <w:rPr>
          <w:rFonts w:ascii="Times New Roman" w:hAnsi="Times New Roman" w:cs="Times New Roman"/>
        </w:rPr>
        <w:t xml:space="preserve"> do quinquênio de 2015 a 2019 (vigência da Lei nº 12.973/2014) na comparação com as </w:t>
      </w:r>
      <w:proofErr w:type="spellStart"/>
      <w:r w:rsidRPr="00761059">
        <w:rPr>
          <w:rFonts w:ascii="Times New Roman" w:hAnsi="Times New Roman" w:cs="Times New Roman"/>
        </w:rPr>
        <w:t>CashETRt</w:t>
      </w:r>
      <w:proofErr w:type="spellEnd"/>
      <w:r w:rsidRPr="00761059">
        <w:rPr>
          <w:rFonts w:ascii="Times New Roman" w:hAnsi="Times New Roman" w:cs="Times New Roman"/>
        </w:rPr>
        <w:t xml:space="preserve"> do quinquênio de 2010 a 2014 (vigência do RTT).</w:t>
      </w:r>
    </w:p>
    <w:p w14:paraId="080B930E" w14:textId="12879B9C" w:rsidR="00761059" w:rsidRPr="00761059" w:rsidRDefault="00761059" w:rsidP="00761059">
      <w:pPr>
        <w:pStyle w:val="PargrafodaLista"/>
        <w:numPr>
          <w:ilvl w:val="0"/>
          <w:numId w:val="1"/>
        </w:numPr>
        <w:spacing w:after="120"/>
        <w:jc w:val="both"/>
        <w:rPr>
          <w:rFonts w:ascii="Times New Roman" w:hAnsi="Times New Roman" w:cs="Times New Roman"/>
        </w:rPr>
      </w:pPr>
      <w:r w:rsidRPr="00761059">
        <w:rPr>
          <w:rFonts w:ascii="Times New Roman" w:hAnsi="Times New Roman" w:cs="Times New Roman"/>
          <w:b/>
          <w:bCs/>
        </w:rPr>
        <w:t>Hipótese Alternativa H1</w:t>
      </w:r>
      <w:r w:rsidRPr="00761059">
        <w:rPr>
          <w:rFonts w:ascii="Times New Roman" w:hAnsi="Times New Roman" w:cs="Times New Roman"/>
          <w:b/>
          <w:bCs/>
          <w:kern w:val="24"/>
          <w:vertAlign w:val="subscript"/>
        </w:rPr>
        <w:t>1</w:t>
      </w:r>
      <w:r w:rsidRPr="00761059">
        <w:rPr>
          <w:rFonts w:ascii="Times New Roman" w:hAnsi="Times New Roman" w:cs="Times New Roman"/>
        </w:rPr>
        <w:t>: h</w:t>
      </w:r>
      <w:r w:rsidR="009562F8">
        <w:rPr>
          <w:rFonts w:ascii="Times New Roman" w:hAnsi="Times New Roman" w:cs="Times New Roman"/>
        </w:rPr>
        <w:t>ouve</w:t>
      </w:r>
      <w:r w:rsidRPr="00761059">
        <w:rPr>
          <w:rFonts w:ascii="Times New Roman" w:hAnsi="Times New Roman" w:cs="Times New Roman"/>
        </w:rPr>
        <w:t xml:space="preserve"> diferença estatisticamente significativa entre as </w:t>
      </w:r>
      <w:proofErr w:type="spellStart"/>
      <w:r w:rsidRPr="00761059">
        <w:rPr>
          <w:rFonts w:ascii="Times New Roman" w:hAnsi="Times New Roman" w:cs="Times New Roman"/>
        </w:rPr>
        <w:t>CashETRt</w:t>
      </w:r>
      <w:proofErr w:type="spellEnd"/>
      <w:r w:rsidRPr="00761059">
        <w:rPr>
          <w:rFonts w:ascii="Times New Roman" w:hAnsi="Times New Roman" w:cs="Times New Roman"/>
        </w:rPr>
        <w:t xml:space="preserve"> do quinquênio de 2015 a 2019 (vigência da Lei nº 12.973/2014) na comparação com as </w:t>
      </w:r>
      <w:proofErr w:type="spellStart"/>
      <w:r w:rsidRPr="00761059">
        <w:rPr>
          <w:rFonts w:ascii="Times New Roman" w:hAnsi="Times New Roman" w:cs="Times New Roman"/>
        </w:rPr>
        <w:t>CashETRt</w:t>
      </w:r>
      <w:proofErr w:type="spellEnd"/>
      <w:r w:rsidRPr="00761059">
        <w:rPr>
          <w:rFonts w:ascii="Times New Roman" w:hAnsi="Times New Roman" w:cs="Times New Roman"/>
        </w:rPr>
        <w:t xml:space="preserve"> do quinquênio de 2010 a 2014 (vigência do RTT).</w:t>
      </w:r>
    </w:p>
    <w:p w14:paraId="3F15386F" w14:textId="1A25D06A" w:rsidR="00761059" w:rsidRPr="00761059" w:rsidRDefault="00761059" w:rsidP="00761059">
      <w:pPr>
        <w:pStyle w:val="PargrafodaLista"/>
        <w:numPr>
          <w:ilvl w:val="0"/>
          <w:numId w:val="1"/>
        </w:numPr>
        <w:spacing w:after="120"/>
        <w:jc w:val="both"/>
        <w:rPr>
          <w:rFonts w:ascii="Times New Roman" w:hAnsi="Times New Roman" w:cs="Times New Roman"/>
        </w:rPr>
      </w:pPr>
      <w:r w:rsidRPr="00761059">
        <w:rPr>
          <w:rFonts w:ascii="Times New Roman" w:hAnsi="Times New Roman" w:cs="Times New Roman"/>
          <w:b/>
          <w:bCs/>
        </w:rPr>
        <w:t>Hipótese Nula H2</w:t>
      </w:r>
      <w:r w:rsidRPr="00761059">
        <w:rPr>
          <w:rFonts w:ascii="Times New Roman" w:hAnsi="Times New Roman" w:cs="Times New Roman"/>
          <w:b/>
          <w:bCs/>
          <w:kern w:val="24"/>
          <w:vertAlign w:val="subscript"/>
        </w:rPr>
        <w:t>0</w:t>
      </w:r>
      <w:r w:rsidRPr="00761059">
        <w:rPr>
          <w:rFonts w:ascii="Times New Roman" w:hAnsi="Times New Roman" w:cs="Times New Roman"/>
        </w:rPr>
        <w:t>: não h</w:t>
      </w:r>
      <w:r w:rsidR="009562F8">
        <w:rPr>
          <w:rFonts w:ascii="Times New Roman" w:hAnsi="Times New Roman" w:cs="Times New Roman"/>
        </w:rPr>
        <w:t>ouve</w:t>
      </w:r>
      <w:r w:rsidRPr="00761059">
        <w:rPr>
          <w:rFonts w:ascii="Times New Roman" w:hAnsi="Times New Roman" w:cs="Times New Roman"/>
        </w:rPr>
        <w:t xml:space="preserve"> diferença estatisticamente significativa entre as </w:t>
      </w:r>
      <w:proofErr w:type="spellStart"/>
      <w:r w:rsidRPr="00761059">
        <w:rPr>
          <w:rFonts w:ascii="Times New Roman" w:hAnsi="Times New Roman" w:cs="Times New Roman"/>
        </w:rPr>
        <w:t>CashETRc</w:t>
      </w:r>
      <w:proofErr w:type="spellEnd"/>
      <w:r w:rsidRPr="00761059">
        <w:rPr>
          <w:rFonts w:ascii="Times New Roman" w:hAnsi="Times New Roman" w:cs="Times New Roman"/>
        </w:rPr>
        <w:t xml:space="preserve"> do quinquênio de 2015 a 2019 (vigência da Lei nº 12.973/2014) na comparação com as </w:t>
      </w:r>
      <w:proofErr w:type="spellStart"/>
      <w:r w:rsidRPr="00761059">
        <w:rPr>
          <w:rFonts w:ascii="Times New Roman" w:hAnsi="Times New Roman" w:cs="Times New Roman"/>
        </w:rPr>
        <w:t>CashETRc</w:t>
      </w:r>
      <w:proofErr w:type="spellEnd"/>
      <w:r w:rsidRPr="00761059">
        <w:rPr>
          <w:rFonts w:ascii="Times New Roman" w:hAnsi="Times New Roman" w:cs="Times New Roman"/>
        </w:rPr>
        <w:t xml:space="preserve"> do quinquênio de 2010 a 2014 (vigência do RTT).</w:t>
      </w:r>
    </w:p>
    <w:p w14:paraId="2C9A5D78" w14:textId="3CB11438" w:rsidR="00761059" w:rsidRPr="00761059" w:rsidRDefault="00761059" w:rsidP="00761059">
      <w:pPr>
        <w:pStyle w:val="PargrafodaLista"/>
        <w:numPr>
          <w:ilvl w:val="0"/>
          <w:numId w:val="1"/>
        </w:numPr>
        <w:spacing w:after="120"/>
        <w:jc w:val="both"/>
        <w:rPr>
          <w:rFonts w:ascii="Times New Roman" w:hAnsi="Times New Roman" w:cs="Times New Roman"/>
        </w:rPr>
      </w:pPr>
      <w:r w:rsidRPr="00761059">
        <w:rPr>
          <w:rFonts w:ascii="Times New Roman" w:hAnsi="Times New Roman" w:cs="Times New Roman"/>
          <w:b/>
          <w:bCs/>
        </w:rPr>
        <w:t>Hipótese Alternativa H2</w:t>
      </w:r>
      <w:r w:rsidRPr="00761059">
        <w:rPr>
          <w:rFonts w:ascii="Times New Roman" w:hAnsi="Times New Roman" w:cs="Times New Roman"/>
          <w:b/>
          <w:bCs/>
          <w:kern w:val="24"/>
          <w:vertAlign w:val="subscript"/>
        </w:rPr>
        <w:t>1</w:t>
      </w:r>
      <w:r w:rsidRPr="00761059">
        <w:rPr>
          <w:rFonts w:ascii="Times New Roman" w:hAnsi="Times New Roman" w:cs="Times New Roman"/>
        </w:rPr>
        <w:t>: h</w:t>
      </w:r>
      <w:r w:rsidR="009562F8">
        <w:rPr>
          <w:rFonts w:ascii="Times New Roman" w:hAnsi="Times New Roman" w:cs="Times New Roman"/>
        </w:rPr>
        <w:t>ouve</w:t>
      </w:r>
      <w:r w:rsidRPr="00761059">
        <w:rPr>
          <w:rFonts w:ascii="Times New Roman" w:hAnsi="Times New Roman" w:cs="Times New Roman"/>
        </w:rPr>
        <w:t xml:space="preserve"> diferença estatisticamente significativa entre as </w:t>
      </w:r>
      <w:proofErr w:type="spellStart"/>
      <w:r w:rsidRPr="00761059">
        <w:rPr>
          <w:rFonts w:ascii="Times New Roman" w:hAnsi="Times New Roman" w:cs="Times New Roman"/>
        </w:rPr>
        <w:t>CashETRc</w:t>
      </w:r>
      <w:proofErr w:type="spellEnd"/>
      <w:r w:rsidRPr="00761059">
        <w:rPr>
          <w:rFonts w:ascii="Times New Roman" w:hAnsi="Times New Roman" w:cs="Times New Roman"/>
        </w:rPr>
        <w:t xml:space="preserve"> do quinquênio de 2015 a 2019 (vigência da Lei nº 12.973/2014) na comparação com as </w:t>
      </w:r>
      <w:proofErr w:type="spellStart"/>
      <w:r w:rsidRPr="00761059">
        <w:rPr>
          <w:rFonts w:ascii="Times New Roman" w:hAnsi="Times New Roman" w:cs="Times New Roman"/>
        </w:rPr>
        <w:t>CashETRc</w:t>
      </w:r>
      <w:proofErr w:type="spellEnd"/>
      <w:r w:rsidRPr="00761059">
        <w:rPr>
          <w:rFonts w:ascii="Times New Roman" w:hAnsi="Times New Roman" w:cs="Times New Roman"/>
        </w:rPr>
        <w:t xml:space="preserve"> do quinquênio de 2010 a 2014 (vigência do RTT).</w:t>
      </w:r>
    </w:p>
    <w:p w14:paraId="481B4D0B" w14:textId="60D2FDB0" w:rsidR="00EE495C" w:rsidRDefault="00650CE5" w:rsidP="001D0599">
      <w:pPr>
        <w:spacing w:after="120"/>
        <w:ind w:firstLine="709"/>
        <w:jc w:val="both"/>
        <w:rPr>
          <w:rFonts w:ascii="Times New Roman" w:hAnsi="Times New Roman" w:cs="Times New Roman"/>
        </w:rPr>
      </w:pPr>
      <w:r>
        <w:rPr>
          <w:rFonts w:ascii="Times New Roman" w:hAnsi="Times New Roman" w:cs="Times New Roman"/>
        </w:rPr>
        <w:t>O</w:t>
      </w:r>
      <w:r w:rsidR="00B36FFC">
        <w:rPr>
          <w:rFonts w:ascii="Times New Roman" w:hAnsi="Times New Roman" w:cs="Times New Roman"/>
        </w:rPr>
        <w:t xml:space="preserve"> trabalho </w:t>
      </w:r>
      <w:r>
        <w:rPr>
          <w:rFonts w:ascii="Times New Roman" w:hAnsi="Times New Roman" w:cs="Times New Roman"/>
        </w:rPr>
        <w:t>vis</w:t>
      </w:r>
      <w:r w:rsidR="00BF779F">
        <w:rPr>
          <w:rFonts w:ascii="Times New Roman" w:hAnsi="Times New Roman" w:cs="Times New Roman"/>
        </w:rPr>
        <w:t>ou</w:t>
      </w:r>
      <w:r>
        <w:rPr>
          <w:rFonts w:ascii="Times New Roman" w:hAnsi="Times New Roman" w:cs="Times New Roman"/>
        </w:rPr>
        <w:t xml:space="preserve"> contribuir para</w:t>
      </w:r>
      <w:r w:rsidR="00CD5BE6">
        <w:rPr>
          <w:rFonts w:ascii="Times New Roman" w:hAnsi="Times New Roman" w:cs="Times New Roman"/>
        </w:rPr>
        <w:t xml:space="preserve"> o aprofundamento d</w:t>
      </w:r>
      <w:r w:rsidR="0024288C">
        <w:rPr>
          <w:rFonts w:ascii="Times New Roman" w:hAnsi="Times New Roman" w:cs="Times New Roman"/>
        </w:rPr>
        <w:t>os</w:t>
      </w:r>
      <w:r w:rsidR="00CD5BE6">
        <w:rPr>
          <w:rFonts w:ascii="Times New Roman" w:hAnsi="Times New Roman" w:cs="Times New Roman"/>
        </w:rPr>
        <w:t xml:space="preserve"> estudos</w:t>
      </w:r>
      <w:r w:rsidR="00AD5342">
        <w:rPr>
          <w:rFonts w:ascii="Times New Roman" w:hAnsi="Times New Roman" w:cs="Times New Roman"/>
        </w:rPr>
        <w:t xml:space="preserve"> da área de política tributária</w:t>
      </w:r>
      <w:r w:rsidR="00761059">
        <w:rPr>
          <w:rFonts w:ascii="Times New Roman" w:hAnsi="Times New Roman" w:cs="Times New Roman"/>
        </w:rPr>
        <w:t xml:space="preserve"> </w:t>
      </w:r>
      <w:r w:rsidR="0024288C">
        <w:rPr>
          <w:rFonts w:ascii="Times New Roman" w:hAnsi="Times New Roman" w:cs="Times New Roman"/>
        </w:rPr>
        <w:t>voltados ao</w:t>
      </w:r>
      <w:r>
        <w:rPr>
          <w:rFonts w:ascii="Times New Roman" w:hAnsi="Times New Roman" w:cs="Times New Roman"/>
        </w:rPr>
        <w:t xml:space="preserve"> aperfeiçoamento da legislação </w:t>
      </w:r>
      <w:r w:rsidR="00BF779F">
        <w:rPr>
          <w:rFonts w:ascii="Times New Roman" w:hAnsi="Times New Roman" w:cs="Times New Roman"/>
        </w:rPr>
        <w:t xml:space="preserve">fiscal </w:t>
      </w:r>
      <w:r>
        <w:rPr>
          <w:rFonts w:ascii="Times New Roman" w:hAnsi="Times New Roman" w:cs="Times New Roman"/>
        </w:rPr>
        <w:t xml:space="preserve">federal, </w:t>
      </w:r>
      <w:r w:rsidR="000A76D6">
        <w:rPr>
          <w:rFonts w:ascii="Times New Roman" w:hAnsi="Times New Roman" w:cs="Times New Roman"/>
        </w:rPr>
        <w:t xml:space="preserve">no sentido de </w:t>
      </w:r>
      <w:r w:rsidR="005A552B">
        <w:rPr>
          <w:rFonts w:ascii="Times New Roman" w:hAnsi="Times New Roman" w:cs="Times New Roman"/>
        </w:rPr>
        <w:t>identifica</w:t>
      </w:r>
      <w:r w:rsidR="000A76D6">
        <w:rPr>
          <w:rFonts w:ascii="Times New Roman" w:hAnsi="Times New Roman" w:cs="Times New Roman"/>
        </w:rPr>
        <w:t>r</w:t>
      </w:r>
      <w:r>
        <w:rPr>
          <w:rFonts w:ascii="Times New Roman" w:hAnsi="Times New Roman" w:cs="Times New Roman"/>
        </w:rPr>
        <w:t xml:space="preserve"> </w:t>
      </w:r>
      <w:r w:rsidR="005A552B">
        <w:rPr>
          <w:rFonts w:ascii="Times New Roman" w:hAnsi="Times New Roman" w:cs="Times New Roman"/>
        </w:rPr>
        <w:t>eventuais aumentos na carga tributária incidente sobre lucro que p</w:t>
      </w:r>
      <w:r w:rsidR="000A76D6">
        <w:rPr>
          <w:rFonts w:ascii="Times New Roman" w:hAnsi="Times New Roman" w:cs="Times New Roman"/>
        </w:rPr>
        <w:t>u</w:t>
      </w:r>
      <w:r w:rsidR="00BF779F">
        <w:rPr>
          <w:rFonts w:ascii="Times New Roman" w:hAnsi="Times New Roman" w:cs="Times New Roman"/>
        </w:rPr>
        <w:t>dessem</w:t>
      </w:r>
      <w:r w:rsidR="005A552B">
        <w:rPr>
          <w:rFonts w:ascii="Times New Roman" w:hAnsi="Times New Roman" w:cs="Times New Roman"/>
        </w:rPr>
        <w:t xml:space="preserve"> ser atribuídos </w:t>
      </w:r>
      <w:r w:rsidR="003A75C1">
        <w:rPr>
          <w:rFonts w:ascii="Times New Roman" w:hAnsi="Times New Roman" w:cs="Times New Roman"/>
        </w:rPr>
        <w:t>à adoção dos padrões internacionais de contabilidade</w:t>
      </w:r>
      <w:r w:rsidR="00607C5B">
        <w:rPr>
          <w:rFonts w:ascii="Times New Roman" w:hAnsi="Times New Roman" w:cs="Times New Roman"/>
        </w:rPr>
        <w:t xml:space="preserve"> pelas empresas brasileiras</w:t>
      </w:r>
      <w:r w:rsidR="005A552B">
        <w:rPr>
          <w:rFonts w:ascii="Times New Roman" w:hAnsi="Times New Roman" w:cs="Times New Roman"/>
        </w:rPr>
        <w:t xml:space="preserve">. </w:t>
      </w:r>
      <w:r w:rsidR="00B36FFC">
        <w:rPr>
          <w:rFonts w:ascii="Times New Roman" w:hAnsi="Times New Roman" w:cs="Times New Roman"/>
        </w:rPr>
        <w:t xml:space="preserve"> </w:t>
      </w:r>
    </w:p>
    <w:p w14:paraId="303A0254" w14:textId="73D6D11F" w:rsidR="005C6CD0" w:rsidRDefault="00650CE5" w:rsidP="001D0599">
      <w:pPr>
        <w:spacing w:after="120"/>
        <w:ind w:firstLine="709"/>
        <w:jc w:val="both"/>
        <w:rPr>
          <w:rFonts w:ascii="Times New Roman" w:hAnsi="Times New Roman" w:cs="Times New Roman"/>
        </w:rPr>
      </w:pPr>
      <w:r>
        <w:rPr>
          <w:rFonts w:ascii="Times New Roman" w:hAnsi="Times New Roman" w:cs="Times New Roman"/>
        </w:rPr>
        <w:t xml:space="preserve">A pesquisa </w:t>
      </w:r>
      <w:r w:rsidR="00EE495C">
        <w:rPr>
          <w:rFonts w:ascii="Times New Roman" w:hAnsi="Times New Roman" w:cs="Times New Roman"/>
        </w:rPr>
        <w:t>inov</w:t>
      </w:r>
      <w:r w:rsidR="00BF779F">
        <w:rPr>
          <w:rFonts w:ascii="Times New Roman" w:hAnsi="Times New Roman" w:cs="Times New Roman"/>
        </w:rPr>
        <w:t>ou</w:t>
      </w:r>
      <w:r w:rsidR="00EE495C">
        <w:rPr>
          <w:rFonts w:ascii="Times New Roman" w:hAnsi="Times New Roman" w:cs="Times New Roman"/>
        </w:rPr>
        <w:t xml:space="preserve"> </w:t>
      </w:r>
      <w:r w:rsidR="005A552B">
        <w:rPr>
          <w:rFonts w:ascii="Times New Roman" w:hAnsi="Times New Roman" w:cs="Times New Roman"/>
        </w:rPr>
        <w:t>na metodologia utilizada para a aferição da carga tributária do IRPJ e da CSLL</w:t>
      </w:r>
      <w:r w:rsidR="00BF779F">
        <w:rPr>
          <w:rFonts w:ascii="Times New Roman" w:hAnsi="Times New Roman" w:cs="Times New Roman"/>
        </w:rPr>
        <w:t xml:space="preserve"> posto que as variáveis </w:t>
      </w:r>
      <w:proofErr w:type="spellStart"/>
      <w:r w:rsidR="00BF779F">
        <w:rPr>
          <w:rFonts w:ascii="Times New Roman" w:hAnsi="Times New Roman" w:cs="Times New Roman"/>
        </w:rPr>
        <w:t>CashETRt</w:t>
      </w:r>
      <w:proofErr w:type="spellEnd"/>
      <w:r w:rsidR="00BF779F">
        <w:rPr>
          <w:rFonts w:ascii="Times New Roman" w:hAnsi="Times New Roman" w:cs="Times New Roman"/>
        </w:rPr>
        <w:t xml:space="preserve"> e </w:t>
      </w:r>
      <w:proofErr w:type="spellStart"/>
      <w:r w:rsidR="00BF779F">
        <w:rPr>
          <w:rFonts w:ascii="Times New Roman" w:hAnsi="Times New Roman" w:cs="Times New Roman"/>
        </w:rPr>
        <w:t>CashETRc</w:t>
      </w:r>
      <w:proofErr w:type="spellEnd"/>
      <w:r w:rsidR="00BF779F">
        <w:rPr>
          <w:rFonts w:ascii="Times New Roman" w:hAnsi="Times New Roman" w:cs="Times New Roman"/>
        </w:rPr>
        <w:t xml:space="preserve"> foram quantificadas e </w:t>
      </w:r>
      <w:r w:rsidR="00761059">
        <w:rPr>
          <w:rFonts w:ascii="Times New Roman" w:hAnsi="Times New Roman" w:cs="Times New Roman"/>
        </w:rPr>
        <w:t>comparad</w:t>
      </w:r>
      <w:r w:rsidR="00BF779F">
        <w:rPr>
          <w:rFonts w:ascii="Times New Roman" w:hAnsi="Times New Roman" w:cs="Times New Roman"/>
        </w:rPr>
        <w:t xml:space="preserve">as em períodos </w:t>
      </w:r>
      <w:r w:rsidR="00B87594">
        <w:rPr>
          <w:rFonts w:ascii="Times New Roman" w:hAnsi="Times New Roman" w:cs="Times New Roman"/>
        </w:rPr>
        <w:t>quinquenais</w:t>
      </w:r>
      <w:r w:rsidR="007B4999">
        <w:rPr>
          <w:rFonts w:ascii="Times New Roman" w:hAnsi="Times New Roman" w:cs="Times New Roman"/>
        </w:rPr>
        <w:t xml:space="preserve">, </w:t>
      </w:r>
      <w:r w:rsidR="00BF779F">
        <w:rPr>
          <w:rFonts w:ascii="Times New Roman" w:hAnsi="Times New Roman" w:cs="Times New Roman"/>
        </w:rPr>
        <w:t xml:space="preserve">em análise que buscou mensurar os efeitos </w:t>
      </w:r>
      <w:r w:rsidR="005C1EAF">
        <w:rPr>
          <w:rFonts w:ascii="Times New Roman" w:hAnsi="Times New Roman" w:cs="Times New Roman"/>
        </w:rPr>
        <w:t xml:space="preserve">das </w:t>
      </w:r>
      <w:r w:rsidR="00CD5BE6">
        <w:rPr>
          <w:rFonts w:ascii="Times New Roman" w:hAnsi="Times New Roman" w:cs="Times New Roman"/>
        </w:rPr>
        <w:t>despesas correntes</w:t>
      </w:r>
      <w:r w:rsidR="005C1EAF">
        <w:rPr>
          <w:rFonts w:ascii="Times New Roman" w:hAnsi="Times New Roman" w:cs="Times New Roman"/>
        </w:rPr>
        <w:t xml:space="preserve"> e diferidas</w:t>
      </w:r>
      <w:r w:rsidR="00CD5BE6">
        <w:rPr>
          <w:rFonts w:ascii="Times New Roman" w:hAnsi="Times New Roman" w:cs="Times New Roman"/>
        </w:rPr>
        <w:t xml:space="preserve"> relacionadas aos tributos, </w:t>
      </w:r>
      <w:r w:rsidR="005C1EAF">
        <w:rPr>
          <w:rFonts w:ascii="Times New Roman" w:hAnsi="Times New Roman" w:cs="Times New Roman"/>
        </w:rPr>
        <w:t>d</w:t>
      </w:r>
      <w:r w:rsidR="00CD5BE6">
        <w:rPr>
          <w:rFonts w:ascii="Times New Roman" w:hAnsi="Times New Roman" w:cs="Times New Roman"/>
        </w:rPr>
        <w:t xml:space="preserve">ada as características específicas da sistemática </w:t>
      </w:r>
      <w:r w:rsidR="00AD5342">
        <w:rPr>
          <w:rFonts w:ascii="Times New Roman" w:hAnsi="Times New Roman" w:cs="Times New Roman"/>
        </w:rPr>
        <w:t>fiscal</w:t>
      </w:r>
      <w:r w:rsidR="00CD5BE6">
        <w:rPr>
          <w:rFonts w:ascii="Times New Roman" w:hAnsi="Times New Roman" w:cs="Times New Roman"/>
        </w:rPr>
        <w:t xml:space="preserve"> imposta</w:t>
      </w:r>
      <w:r w:rsidR="00AD5342">
        <w:rPr>
          <w:rFonts w:ascii="Times New Roman" w:hAnsi="Times New Roman" w:cs="Times New Roman"/>
        </w:rPr>
        <w:t xml:space="preserve"> </w:t>
      </w:r>
      <w:r w:rsidR="00BF779F">
        <w:rPr>
          <w:rFonts w:ascii="Times New Roman" w:hAnsi="Times New Roman" w:cs="Times New Roman"/>
        </w:rPr>
        <w:t>pela</w:t>
      </w:r>
      <w:r w:rsidR="00CD5BE6">
        <w:rPr>
          <w:rFonts w:ascii="Times New Roman" w:hAnsi="Times New Roman" w:cs="Times New Roman"/>
        </w:rPr>
        <w:t xml:space="preserve"> Lei nº 12.973</w:t>
      </w:r>
      <w:r w:rsidR="009B6610">
        <w:rPr>
          <w:rFonts w:ascii="Times New Roman" w:hAnsi="Times New Roman" w:cs="Times New Roman"/>
        </w:rPr>
        <w:t>/</w:t>
      </w:r>
      <w:r w:rsidR="00CD5BE6">
        <w:rPr>
          <w:rFonts w:ascii="Times New Roman" w:hAnsi="Times New Roman" w:cs="Times New Roman"/>
        </w:rPr>
        <w:t xml:space="preserve">2014, vigente a partir de </w:t>
      </w:r>
      <w:r w:rsidR="00761059">
        <w:rPr>
          <w:rFonts w:ascii="Times New Roman" w:hAnsi="Times New Roman" w:cs="Times New Roman"/>
        </w:rPr>
        <w:t xml:space="preserve">1º de janeiro de </w:t>
      </w:r>
      <w:r w:rsidR="00CD5BE6">
        <w:rPr>
          <w:rFonts w:ascii="Times New Roman" w:hAnsi="Times New Roman" w:cs="Times New Roman"/>
        </w:rPr>
        <w:t>2015.</w:t>
      </w:r>
    </w:p>
    <w:p w14:paraId="5A6780ED" w14:textId="248DFEC3" w:rsidR="00631B58" w:rsidRDefault="00631B58" w:rsidP="009862D6">
      <w:pPr>
        <w:spacing w:after="120"/>
        <w:jc w:val="both"/>
        <w:rPr>
          <w:rFonts w:ascii="Times New Roman" w:hAnsi="Times New Roman" w:cs="Times New Roman"/>
        </w:rPr>
      </w:pPr>
    </w:p>
    <w:p w14:paraId="76734DE3" w14:textId="77777777" w:rsidR="000F4C71" w:rsidRDefault="000F4C71" w:rsidP="009862D6">
      <w:pPr>
        <w:spacing w:after="120"/>
        <w:jc w:val="both"/>
        <w:rPr>
          <w:rFonts w:ascii="Times New Roman" w:hAnsi="Times New Roman" w:cs="Times New Roman"/>
        </w:rPr>
      </w:pPr>
    </w:p>
    <w:p w14:paraId="10A71718" w14:textId="0AE9514F" w:rsidR="00631B58" w:rsidRDefault="00073A36" w:rsidP="009862D6">
      <w:pPr>
        <w:spacing w:after="120"/>
        <w:jc w:val="both"/>
        <w:rPr>
          <w:rFonts w:ascii="Times New Roman" w:hAnsi="Times New Roman" w:cs="Times New Roman"/>
          <w:b/>
          <w:bCs/>
        </w:rPr>
      </w:pPr>
      <w:r w:rsidRPr="002466D6">
        <w:rPr>
          <w:rFonts w:ascii="Times New Roman" w:hAnsi="Times New Roman" w:cs="Times New Roman"/>
          <w:b/>
          <w:bCs/>
        </w:rPr>
        <w:t>2 REFERENCIAL TEÓRICO</w:t>
      </w:r>
    </w:p>
    <w:p w14:paraId="33E0F048" w14:textId="77777777" w:rsidR="00D8273B" w:rsidRDefault="00D8273B" w:rsidP="009862D6">
      <w:pPr>
        <w:spacing w:after="120"/>
        <w:jc w:val="both"/>
        <w:rPr>
          <w:rFonts w:ascii="Times New Roman" w:hAnsi="Times New Roman" w:cs="Times New Roman"/>
          <w:b/>
          <w:bCs/>
        </w:rPr>
      </w:pPr>
    </w:p>
    <w:p w14:paraId="752D9DAD" w14:textId="53815D32" w:rsidR="000E71C9" w:rsidRDefault="000E71C9" w:rsidP="009862D6">
      <w:pPr>
        <w:spacing w:after="120"/>
        <w:jc w:val="both"/>
        <w:rPr>
          <w:rFonts w:ascii="Times New Roman" w:hAnsi="Times New Roman" w:cs="Times New Roman"/>
          <w:b/>
          <w:bCs/>
        </w:rPr>
      </w:pPr>
      <w:r>
        <w:rPr>
          <w:rFonts w:ascii="Times New Roman" w:hAnsi="Times New Roman" w:cs="Times New Roman"/>
          <w:b/>
          <w:bCs/>
        </w:rPr>
        <w:t>2.1 Pesquisas anteriores</w:t>
      </w:r>
      <w:r w:rsidR="007A1E76">
        <w:rPr>
          <w:rFonts w:ascii="Times New Roman" w:hAnsi="Times New Roman" w:cs="Times New Roman"/>
          <w:b/>
          <w:bCs/>
        </w:rPr>
        <w:t xml:space="preserve"> </w:t>
      </w:r>
      <w:r w:rsidR="003014B4">
        <w:rPr>
          <w:rFonts w:ascii="Times New Roman" w:hAnsi="Times New Roman" w:cs="Times New Roman"/>
          <w:b/>
          <w:bCs/>
        </w:rPr>
        <w:t>sobre a</w:t>
      </w:r>
      <w:r w:rsidR="007A1E76">
        <w:rPr>
          <w:rFonts w:ascii="Times New Roman" w:hAnsi="Times New Roman" w:cs="Times New Roman"/>
          <w:b/>
          <w:bCs/>
        </w:rPr>
        <w:t xml:space="preserve"> ETR</w:t>
      </w:r>
    </w:p>
    <w:p w14:paraId="784D0D70" w14:textId="7CE00F4C" w:rsidR="00695937" w:rsidRDefault="009862D6" w:rsidP="001D0599">
      <w:pPr>
        <w:spacing w:after="120"/>
        <w:ind w:firstLine="709"/>
        <w:jc w:val="both"/>
        <w:rPr>
          <w:rFonts w:ascii="Times New Roman" w:hAnsi="Times New Roman" w:cs="Times New Roman"/>
        </w:rPr>
      </w:pPr>
      <w:r>
        <w:rPr>
          <w:rFonts w:ascii="Times New Roman" w:hAnsi="Times New Roman" w:cs="Times New Roman"/>
        </w:rPr>
        <w:t>A</w:t>
      </w:r>
      <w:r w:rsidR="0065259A">
        <w:rPr>
          <w:rFonts w:ascii="Times New Roman" w:hAnsi="Times New Roman" w:cs="Times New Roman"/>
        </w:rPr>
        <w:t xml:space="preserve"> proxy mais adequada para a mensuração do nível de tributação do lucro empresarial seria uma alíquota tributária marginal (MTR, </w:t>
      </w:r>
      <w:r w:rsidR="0065259A" w:rsidRPr="00213CBA">
        <w:rPr>
          <w:rFonts w:ascii="Times New Roman" w:hAnsi="Times New Roman" w:cs="Times New Roman"/>
          <w:i/>
          <w:iCs/>
        </w:rPr>
        <w:t>ma</w:t>
      </w:r>
      <w:r w:rsidR="0065259A">
        <w:rPr>
          <w:rFonts w:ascii="Times New Roman" w:hAnsi="Times New Roman" w:cs="Times New Roman"/>
          <w:i/>
          <w:iCs/>
        </w:rPr>
        <w:t>r</w:t>
      </w:r>
      <w:r w:rsidR="0065259A" w:rsidRPr="00213CBA">
        <w:rPr>
          <w:rFonts w:ascii="Times New Roman" w:hAnsi="Times New Roman" w:cs="Times New Roman"/>
          <w:i/>
          <w:iCs/>
        </w:rPr>
        <w:t xml:space="preserve">ginal </w:t>
      </w:r>
      <w:proofErr w:type="spellStart"/>
      <w:r w:rsidR="0065259A" w:rsidRPr="00213CBA">
        <w:rPr>
          <w:rFonts w:ascii="Times New Roman" w:hAnsi="Times New Roman" w:cs="Times New Roman"/>
          <w:i/>
          <w:iCs/>
        </w:rPr>
        <w:t>tax</w:t>
      </w:r>
      <w:proofErr w:type="spellEnd"/>
      <w:r w:rsidR="0065259A" w:rsidRPr="00213CBA">
        <w:rPr>
          <w:rFonts w:ascii="Times New Roman" w:hAnsi="Times New Roman" w:cs="Times New Roman"/>
          <w:i/>
          <w:iCs/>
        </w:rPr>
        <w:t xml:space="preserve"> rate</w:t>
      </w:r>
      <w:r w:rsidR="0065259A">
        <w:rPr>
          <w:rFonts w:ascii="Times New Roman" w:hAnsi="Times New Roman" w:cs="Times New Roman"/>
        </w:rPr>
        <w:t>) capaz de quantificar o montante do tributo incidente sobre cada unidade monetária adicional de renda auferida (</w:t>
      </w:r>
      <w:r>
        <w:rPr>
          <w:rFonts w:ascii="Times New Roman" w:hAnsi="Times New Roman" w:cs="Times New Roman"/>
        </w:rPr>
        <w:t xml:space="preserve">POHLMANN; IUDÍCIBUS, 2010; </w:t>
      </w:r>
      <w:r w:rsidR="0065259A">
        <w:rPr>
          <w:rFonts w:ascii="Times New Roman" w:hAnsi="Times New Roman" w:cs="Times New Roman"/>
        </w:rPr>
        <w:t xml:space="preserve">PLESKO, 2003). </w:t>
      </w:r>
      <w:proofErr w:type="spellStart"/>
      <w:r w:rsidR="0065259A">
        <w:rPr>
          <w:rFonts w:ascii="Times New Roman" w:hAnsi="Times New Roman" w:cs="Times New Roman"/>
        </w:rPr>
        <w:t>Grupta</w:t>
      </w:r>
      <w:proofErr w:type="spellEnd"/>
      <w:r w:rsidR="0065259A">
        <w:rPr>
          <w:rFonts w:ascii="Times New Roman" w:hAnsi="Times New Roman" w:cs="Times New Roman"/>
        </w:rPr>
        <w:t xml:space="preserve"> e </w:t>
      </w:r>
      <w:proofErr w:type="spellStart"/>
      <w:r w:rsidR="0065259A">
        <w:rPr>
          <w:rFonts w:ascii="Times New Roman" w:hAnsi="Times New Roman" w:cs="Times New Roman"/>
        </w:rPr>
        <w:t>Newberry</w:t>
      </w:r>
      <w:proofErr w:type="spellEnd"/>
      <w:r w:rsidR="0065259A">
        <w:rPr>
          <w:rFonts w:ascii="Times New Roman" w:hAnsi="Times New Roman" w:cs="Times New Roman"/>
        </w:rPr>
        <w:t xml:space="preserve"> (1997) entendem que a alíquota tributária média (ATR, </w:t>
      </w:r>
      <w:proofErr w:type="spellStart"/>
      <w:r w:rsidR="0065259A" w:rsidRPr="00182BAC">
        <w:rPr>
          <w:rFonts w:ascii="Times New Roman" w:hAnsi="Times New Roman" w:cs="Times New Roman"/>
          <w:i/>
          <w:iCs/>
        </w:rPr>
        <w:t>average</w:t>
      </w:r>
      <w:proofErr w:type="spellEnd"/>
      <w:r w:rsidR="0065259A" w:rsidRPr="00182BAC">
        <w:rPr>
          <w:rFonts w:ascii="Times New Roman" w:hAnsi="Times New Roman" w:cs="Times New Roman"/>
          <w:i/>
          <w:iCs/>
        </w:rPr>
        <w:t xml:space="preserve"> </w:t>
      </w:r>
      <w:proofErr w:type="spellStart"/>
      <w:r w:rsidR="0065259A" w:rsidRPr="00182BAC">
        <w:rPr>
          <w:rFonts w:ascii="Times New Roman" w:hAnsi="Times New Roman" w:cs="Times New Roman"/>
          <w:i/>
          <w:iCs/>
        </w:rPr>
        <w:t>tax</w:t>
      </w:r>
      <w:proofErr w:type="spellEnd"/>
      <w:r w:rsidR="0065259A" w:rsidRPr="00182BAC">
        <w:rPr>
          <w:rFonts w:ascii="Times New Roman" w:hAnsi="Times New Roman" w:cs="Times New Roman"/>
          <w:i/>
          <w:iCs/>
        </w:rPr>
        <w:t xml:space="preserve"> rate</w:t>
      </w:r>
      <w:r w:rsidR="0065259A">
        <w:rPr>
          <w:rFonts w:ascii="Times New Roman" w:hAnsi="Times New Roman" w:cs="Times New Roman"/>
        </w:rPr>
        <w:t xml:space="preserve">) é uma forma de mensuração da carga tributária adequada para a comparação entre empresas e/ou setores econômicos. Da mesma forma, Lopes (2012) considera a </w:t>
      </w:r>
      <w:r w:rsidR="00695937">
        <w:rPr>
          <w:rFonts w:ascii="Times New Roman" w:hAnsi="Times New Roman" w:cs="Times New Roman"/>
        </w:rPr>
        <w:t>ATR</w:t>
      </w:r>
      <w:r w:rsidR="0065259A">
        <w:rPr>
          <w:rFonts w:ascii="Times New Roman" w:hAnsi="Times New Roman" w:cs="Times New Roman"/>
        </w:rPr>
        <w:t xml:space="preserve"> útil como métrica na comparação de contribuintes, sobretudo em razão da dificuldade de se estimar os custos tributários implícitos. De fato, o cálculo d</w:t>
      </w:r>
      <w:r w:rsidR="00695937">
        <w:rPr>
          <w:rFonts w:ascii="Times New Roman" w:hAnsi="Times New Roman" w:cs="Times New Roman"/>
        </w:rPr>
        <w:t>a ATR</w:t>
      </w:r>
      <w:r w:rsidR="0065259A">
        <w:rPr>
          <w:rFonts w:ascii="Times New Roman" w:hAnsi="Times New Roman" w:cs="Times New Roman"/>
        </w:rPr>
        <w:t xml:space="preserve"> pode ser realizado a partir das informações financeiras divulgadas pelas companhias sediadas no País, bastando, para tal, dividir o valor das provisões correntes ou totais pelo lucro </w:t>
      </w:r>
      <w:r w:rsidR="009562F8">
        <w:rPr>
          <w:rFonts w:ascii="Times New Roman" w:hAnsi="Times New Roman" w:cs="Times New Roman"/>
        </w:rPr>
        <w:t xml:space="preserve">contábil </w:t>
      </w:r>
      <w:r w:rsidR="0065259A">
        <w:rPr>
          <w:rFonts w:ascii="Times New Roman" w:hAnsi="Times New Roman" w:cs="Times New Roman"/>
        </w:rPr>
        <w:t xml:space="preserve">do período, que no caso do Brasil </w:t>
      </w:r>
      <w:r w:rsidR="009562F8">
        <w:rPr>
          <w:rFonts w:ascii="Times New Roman" w:hAnsi="Times New Roman" w:cs="Times New Roman"/>
        </w:rPr>
        <w:t>é</w:t>
      </w:r>
      <w:r w:rsidR="0065259A">
        <w:rPr>
          <w:rFonts w:ascii="Times New Roman" w:hAnsi="Times New Roman" w:cs="Times New Roman"/>
        </w:rPr>
        <w:t xml:space="preserve"> o Lucro antes do Imposto de Renda - LAIR, ponto de partida para a determinação da base de cálculo que sofrerá a incidência do IRPJ e da CSLL.</w:t>
      </w:r>
      <w:r w:rsidR="00695937">
        <w:rPr>
          <w:rFonts w:ascii="Times New Roman" w:hAnsi="Times New Roman" w:cs="Times New Roman"/>
        </w:rPr>
        <w:t xml:space="preserve"> </w:t>
      </w:r>
    </w:p>
    <w:p w14:paraId="6E7B1871" w14:textId="3D6267B3" w:rsidR="0065259A" w:rsidRDefault="00695937" w:rsidP="001D0599">
      <w:pPr>
        <w:spacing w:after="120"/>
        <w:ind w:firstLine="709"/>
        <w:jc w:val="both"/>
        <w:rPr>
          <w:rFonts w:ascii="Times New Roman" w:hAnsi="Times New Roman" w:cs="Times New Roman"/>
        </w:rPr>
      </w:pPr>
      <w:r>
        <w:rPr>
          <w:rFonts w:ascii="Times New Roman" w:hAnsi="Times New Roman" w:cs="Times New Roman"/>
        </w:rPr>
        <w:t>Deve-se observar que uma alíquota tributária efetiva (ETR) ou alíquota tributária média (ATR)</w:t>
      </w:r>
      <w:r w:rsidR="0065259A">
        <w:rPr>
          <w:rFonts w:ascii="Times New Roman" w:hAnsi="Times New Roman" w:cs="Times New Roman"/>
        </w:rPr>
        <w:t xml:space="preserve"> não </w:t>
      </w:r>
      <w:r>
        <w:rPr>
          <w:rFonts w:ascii="Times New Roman" w:hAnsi="Times New Roman" w:cs="Times New Roman"/>
        </w:rPr>
        <w:t>deve</w:t>
      </w:r>
      <w:r w:rsidR="0065259A">
        <w:rPr>
          <w:rFonts w:ascii="Times New Roman" w:hAnsi="Times New Roman" w:cs="Times New Roman"/>
        </w:rPr>
        <w:t xml:space="preserve"> ser confundida com a alíquota tributária legal (LTR, </w:t>
      </w:r>
      <w:r w:rsidR="0065259A" w:rsidRPr="00DA68D1">
        <w:rPr>
          <w:rFonts w:ascii="Times New Roman" w:hAnsi="Times New Roman" w:cs="Times New Roman"/>
          <w:i/>
          <w:iCs/>
        </w:rPr>
        <w:t xml:space="preserve">legal </w:t>
      </w:r>
      <w:proofErr w:type="spellStart"/>
      <w:r w:rsidR="0065259A" w:rsidRPr="00DA68D1">
        <w:rPr>
          <w:rFonts w:ascii="Times New Roman" w:hAnsi="Times New Roman" w:cs="Times New Roman"/>
          <w:i/>
          <w:iCs/>
        </w:rPr>
        <w:t>tax</w:t>
      </w:r>
      <w:proofErr w:type="spellEnd"/>
      <w:r w:rsidR="0065259A" w:rsidRPr="00DA68D1">
        <w:rPr>
          <w:rFonts w:ascii="Times New Roman" w:hAnsi="Times New Roman" w:cs="Times New Roman"/>
          <w:i/>
          <w:iCs/>
        </w:rPr>
        <w:t xml:space="preserve"> rate</w:t>
      </w:r>
      <w:r w:rsidR="0065259A">
        <w:rPr>
          <w:rFonts w:ascii="Times New Roman" w:hAnsi="Times New Roman" w:cs="Times New Roman"/>
        </w:rPr>
        <w:t xml:space="preserve">), </w:t>
      </w:r>
      <w:r>
        <w:rPr>
          <w:rFonts w:ascii="Times New Roman" w:hAnsi="Times New Roman" w:cs="Times New Roman"/>
        </w:rPr>
        <w:t>ou seja,</w:t>
      </w:r>
      <w:r w:rsidR="0065259A">
        <w:rPr>
          <w:rFonts w:ascii="Times New Roman" w:hAnsi="Times New Roman" w:cs="Times New Roman"/>
        </w:rPr>
        <w:t xml:space="preserve"> a </w:t>
      </w:r>
      <w:r w:rsidR="0065259A">
        <w:rPr>
          <w:rFonts w:ascii="Times New Roman" w:hAnsi="Times New Roman" w:cs="Times New Roman"/>
        </w:rPr>
        <w:lastRenderedPageBreak/>
        <w:t>alíquota nominal</w:t>
      </w:r>
      <w:r>
        <w:rPr>
          <w:rFonts w:ascii="Times New Roman" w:hAnsi="Times New Roman" w:cs="Times New Roman"/>
        </w:rPr>
        <w:t xml:space="preserve"> prevista em lei,</w:t>
      </w:r>
      <w:r w:rsidR="0065259A">
        <w:rPr>
          <w:rFonts w:ascii="Times New Roman" w:hAnsi="Times New Roman" w:cs="Times New Roman"/>
        </w:rPr>
        <w:t xml:space="preserve"> incidente sobre o lucro </w:t>
      </w:r>
      <w:r>
        <w:rPr>
          <w:rFonts w:ascii="Times New Roman" w:hAnsi="Times New Roman" w:cs="Times New Roman"/>
        </w:rPr>
        <w:t xml:space="preserve">apurado para fins </w:t>
      </w:r>
      <w:r w:rsidR="0065259A">
        <w:rPr>
          <w:rFonts w:ascii="Times New Roman" w:hAnsi="Times New Roman" w:cs="Times New Roman"/>
        </w:rPr>
        <w:t>fisca</w:t>
      </w:r>
      <w:r>
        <w:rPr>
          <w:rFonts w:ascii="Times New Roman" w:hAnsi="Times New Roman" w:cs="Times New Roman"/>
        </w:rPr>
        <w:t>is. No Brasil, c</w:t>
      </w:r>
      <w:r w:rsidR="0065259A">
        <w:rPr>
          <w:rFonts w:ascii="Times New Roman" w:hAnsi="Times New Roman" w:cs="Times New Roman"/>
        </w:rPr>
        <w:t>om exceção do setor financeiro (bancos, seguradoras ou outros), as pessoas jurídicas estão submetidas a uma LTR de 34%, sendo 15% para o IRPJ, mais o adicional de 10%, e 9% para a CSLL</w:t>
      </w:r>
      <w:r w:rsidR="00064A23">
        <w:rPr>
          <w:rFonts w:ascii="Times New Roman" w:hAnsi="Times New Roman" w:cs="Times New Roman"/>
        </w:rPr>
        <w:t xml:space="preserve"> (RECEITA FEDERAL DO BRASIL, 2017)</w:t>
      </w:r>
      <w:r w:rsidR="0065259A">
        <w:rPr>
          <w:rFonts w:ascii="Times New Roman" w:hAnsi="Times New Roman" w:cs="Times New Roman"/>
        </w:rPr>
        <w:t xml:space="preserve">. </w:t>
      </w:r>
    </w:p>
    <w:p w14:paraId="0E7C3519" w14:textId="7858CD04" w:rsidR="00326065" w:rsidRDefault="0065259A" w:rsidP="001D0599">
      <w:pPr>
        <w:spacing w:after="120"/>
        <w:ind w:firstLine="709"/>
        <w:jc w:val="both"/>
        <w:rPr>
          <w:rFonts w:ascii="Times New Roman" w:hAnsi="Times New Roman" w:cs="Times New Roman"/>
        </w:rPr>
      </w:pPr>
      <w:r>
        <w:rPr>
          <w:rFonts w:ascii="Times New Roman" w:hAnsi="Times New Roman" w:cs="Times New Roman"/>
        </w:rPr>
        <w:t>Janssen (2000) sustenta que as métricas utilizadas no cálculo de uma alíquota tributária efetiva dependem da questão de pesquisa a ser respondida, ou seja, do objetivo do pesquisador. Nesse sentido, a</w:t>
      </w:r>
      <w:r w:rsidR="007B0CE1" w:rsidRPr="00C56FA0">
        <w:rPr>
          <w:rFonts w:ascii="Times New Roman" w:hAnsi="Times New Roman" w:cs="Times New Roman"/>
        </w:rPr>
        <w:t xml:space="preserve"> ETR</w:t>
      </w:r>
      <w:r>
        <w:rPr>
          <w:rFonts w:ascii="Times New Roman" w:hAnsi="Times New Roman" w:cs="Times New Roman"/>
        </w:rPr>
        <w:t xml:space="preserve"> tem sido</w:t>
      </w:r>
      <w:r w:rsidR="00233CD6" w:rsidRPr="00C56FA0">
        <w:rPr>
          <w:rFonts w:ascii="Times New Roman" w:hAnsi="Times New Roman" w:cs="Times New Roman"/>
        </w:rPr>
        <w:t xml:space="preserve"> </w:t>
      </w:r>
      <w:r w:rsidR="00233CD6">
        <w:rPr>
          <w:rFonts w:ascii="Times New Roman" w:hAnsi="Times New Roman" w:cs="Times New Roman"/>
        </w:rPr>
        <w:t xml:space="preserve">utilizada </w:t>
      </w:r>
      <w:r w:rsidR="00650CE5">
        <w:rPr>
          <w:rFonts w:ascii="Times New Roman" w:hAnsi="Times New Roman" w:cs="Times New Roman"/>
        </w:rPr>
        <w:t xml:space="preserve">como métrica </w:t>
      </w:r>
      <w:r w:rsidR="00233CD6">
        <w:rPr>
          <w:rFonts w:ascii="Times New Roman" w:hAnsi="Times New Roman" w:cs="Times New Roman"/>
        </w:rPr>
        <w:t xml:space="preserve">em </w:t>
      </w:r>
      <w:r w:rsidR="007F43E6">
        <w:rPr>
          <w:rFonts w:ascii="Times New Roman" w:hAnsi="Times New Roman" w:cs="Times New Roman"/>
        </w:rPr>
        <w:t>estudos</w:t>
      </w:r>
      <w:r w:rsidR="00233CD6">
        <w:rPr>
          <w:rFonts w:ascii="Times New Roman" w:hAnsi="Times New Roman" w:cs="Times New Roman"/>
        </w:rPr>
        <w:t xml:space="preserve"> científic</w:t>
      </w:r>
      <w:r w:rsidR="007F43E6">
        <w:rPr>
          <w:rFonts w:ascii="Times New Roman" w:hAnsi="Times New Roman" w:cs="Times New Roman"/>
        </w:rPr>
        <w:t>os</w:t>
      </w:r>
      <w:r w:rsidR="00233CD6">
        <w:rPr>
          <w:rFonts w:ascii="Times New Roman" w:hAnsi="Times New Roman" w:cs="Times New Roman"/>
        </w:rPr>
        <w:t xml:space="preserve"> </w:t>
      </w:r>
      <w:r w:rsidR="00650CE5">
        <w:rPr>
          <w:rFonts w:ascii="Times New Roman" w:hAnsi="Times New Roman" w:cs="Times New Roman"/>
        </w:rPr>
        <w:t>nacionais e</w:t>
      </w:r>
      <w:r w:rsidR="007F43E6">
        <w:rPr>
          <w:rFonts w:ascii="Times New Roman" w:hAnsi="Times New Roman" w:cs="Times New Roman"/>
        </w:rPr>
        <w:t xml:space="preserve"> </w:t>
      </w:r>
      <w:r w:rsidR="00650CE5">
        <w:rPr>
          <w:rFonts w:ascii="Times New Roman" w:hAnsi="Times New Roman" w:cs="Times New Roman"/>
        </w:rPr>
        <w:t>internacionais</w:t>
      </w:r>
      <w:r w:rsidR="00233CD6">
        <w:rPr>
          <w:rFonts w:ascii="Times New Roman" w:hAnsi="Times New Roman" w:cs="Times New Roman"/>
        </w:rPr>
        <w:t xml:space="preserve"> </w:t>
      </w:r>
      <w:r w:rsidR="00486AFC">
        <w:rPr>
          <w:rFonts w:ascii="Times New Roman" w:hAnsi="Times New Roman" w:cs="Times New Roman"/>
        </w:rPr>
        <w:t>sob</w:t>
      </w:r>
      <w:r w:rsidR="00233CD6">
        <w:rPr>
          <w:rFonts w:ascii="Times New Roman" w:hAnsi="Times New Roman" w:cs="Times New Roman"/>
        </w:rPr>
        <w:t xml:space="preserve"> </w:t>
      </w:r>
      <w:r w:rsidR="00157E43" w:rsidRPr="00C56FA0">
        <w:rPr>
          <w:rFonts w:ascii="Times New Roman" w:hAnsi="Times New Roman" w:cs="Times New Roman"/>
        </w:rPr>
        <w:t>diversas</w:t>
      </w:r>
      <w:r w:rsidR="00157E43">
        <w:rPr>
          <w:rFonts w:ascii="Times New Roman" w:hAnsi="Times New Roman" w:cs="Times New Roman"/>
        </w:rPr>
        <w:t xml:space="preserve"> </w:t>
      </w:r>
      <w:r w:rsidR="00233CD6">
        <w:rPr>
          <w:rFonts w:ascii="Times New Roman" w:hAnsi="Times New Roman" w:cs="Times New Roman"/>
        </w:rPr>
        <w:t>abordagens</w:t>
      </w:r>
      <w:r w:rsidR="00486AFC">
        <w:rPr>
          <w:rFonts w:ascii="Times New Roman" w:hAnsi="Times New Roman" w:cs="Times New Roman"/>
        </w:rPr>
        <w:t xml:space="preserve"> específicas</w:t>
      </w:r>
      <w:r w:rsidR="00150A47">
        <w:rPr>
          <w:rFonts w:ascii="Times New Roman" w:hAnsi="Times New Roman" w:cs="Times New Roman"/>
        </w:rPr>
        <w:t xml:space="preserve">. Três dessas abordagens são relevantes para </w:t>
      </w:r>
      <w:r w:rsidR="00FE4113">
        <w:rPr>
          <w:rFonts w:ascii="Times New Roman" w:hAnsi="Times New Roman" w:cs="Times New Roman"/>
        </w:rPr>
        <w:t>este artigo</w:t>
      </w:r>
      <w:r w:rsidR="007F43E6">
        <w:rPr>
          <w:rFonts w:ascii="Times New Roman" w:hAnsi="Times New Roman" w:cs="Times New Roman"/>
        </w:rPr>
        <w:t xml:space="preserve">, </w:t>
      </w:r>
      <w:r w:rsidR="00150A47">
        <w:rPr>
          <w:rFonts w:ascii="Times New Roman" w:hAnsi="Times New Roman" w:cs="Times New Roman"/>
        </w:rPr>
        <w:t>a saber:</w:t>
      </w:r>
      <w:r w:rsidR="00486AFC" w:rsidRPr="007B0CE1">
        <w:rPr>
          <w:rFonts w:ascii="Times New Roman" w:hAnsi="Times New Roman" w:cs="Times New Roman"/>
        </w:rPr>
        <w:t xml:space="preserve"> </w:t>
      </w:r>
      <w:r w:rsidR="00752C34" w:rsidRPr="00752C34">
        <w:rPr>
          <w:rFonts w:ascii="Times New Roman" w:hAnsi="Times New Roman" w:cs="Times New Roman"/>
          <w:i/>
          <w:iCs/>
        </w:rPr>
        <w:t>(i)</w:t>
      </w:r>
      <w:r w:rsidR="00752C34">
        <w:rPr>
          <w:rFonts w:ascii="Times New Roman" w:hAnsi="Times New Roman" w:cs="Times New Roman"/>
        </w:rPr>
        <w:t xml:space="preserve"> </w:t>
      </w:r>
      <w:r w:rsidR="00423629">
        <w:rPr>
          <w:rFonts w:ascii="Times New Roman" w:hAnsi="Times New Roman" w:cs="Times New Roman"/>
        </w:rPr>
        <w:t>pesquisas</w:t>
      </w:r>
      <w:r w:rsidR="00650CE5">
        <w:rPr>
          <w:rFonts w:ascii="Times New Roman" w:hAnsi="Times New Roman" w:cs="Times New Roman"/>
        </w:rPr>
        <w:t xml:space="preserve"> </w:t>
      </w:r>
      <w:r w:rsidR="007F43E6">
        <w:rPr>
          <w:rFonts w:ascii="Times New Roman" w:hAnsi="Times New Roman" w:cs="Times New Roman"/>
        </w:rPr>
        <w:t xml:space="preserve">acerca da carga tributária </w:t>
      </w:r>
      <w:r w:rsidR="00423629">
        <w:rPr>
          <w:rFonts w:ascii="Times New Roman" w:hAnsi="Times New Roman" w:cs="Times New Roman"/>
        </w:rPr>
        <w:t xml:space="preserve">suportada por firmas e/ou setores econômicos, </w:t>
      </w:r>
      <w:r w:rsidR="00150A47">
        <w:rPr>
          <w:rFonts w:ascii="Times New Roman" w:hAnsi="Times New Roman" w:cs="Times New Roman"/>
        </w:rPr>
        <w:t>em que a ETR é</w:t>
      </w:r>
      <w:r w:rsidR="00423629">
        <w:rPr>
          <w:rFonts w:ascii="Times New Roman" w:hAnsi="Times New Roman" w:cs="Times New Roman"/>
        </w:rPr>
        <w:t xml:space="preserve"> </w:t>
      </w:r>
      <w:r w:rsidR="00FE4113">
        <w:rPr>
          <w:rFonts w:ascii="Times New Roman" w:hAnsi="Times New Roman" w:cs="Times New Roman"/>
        </w:rPr>
        <w:t xml:space="preserve">a </w:t>
      </w:r>
      <w:r w:rsidR="00423629">
        <w:rPr>
          <w:rFonts w:ascii="Times New Roman" w:hAnsi="Times New Roman" w:cs="Times New Roman"/>
        </w:rPr>
        <w:t xml:space="preserve">variável dependente ou </w:t>
      </w:r>
      <w:r w:rsidR="00FE4113">
        <w:rPr>
          <w:rFonts w:ascii="Times New Roman" w:hAnsi="Times New Roman" w:cs="Times New Roman"/>
        </w:rPr>
        <w:t xml:space="preserve">o </w:t>
      </w:r>
      <w:r w:rsidR="00423629">
        <w:rPr>
          <w:rFonts w:ascii="Times New Roman" w:hAnsi="Times New Roman" w:cs="Times New Roman"/>
        </w:rPr>
        <w:t>critério comparativo</w:t>
      </w:r>
      <w:r w:rsidR="00326065">
        <w:rPr>
          <w:rFonts w:ascii="Times New Roman" w:hAnsi="Times New Roman" w:cs="Times New Roman"/>
        </w:rPr>
        <w:t xml:space="preserve"> </w:t>
      </w:r>
      <w:r w:rsidR="00326065" w:rsidRPr="00C56FA0">
        <w:rPr>
          <w:rFonts w:ascii="Times New Roman" w:hAnsi="Times New Roman" w:cs="Times New Roman"/>
        </w:rPr>
        <w:t>(</w:t>
      </w:r>
      <w:r w:rsidR="002A4EE1">
        <w:rPr>
          <w:rFonts w:ascii="Times New Roman" w:hAnsi="Times New Roman" w:cs="Times New Roman"/>
        </w:rPr>
        <w:t xml:space="preserve">SANTOS; CAVALCANTE; RODRIGUES, 2013; CABELLO; PEREIRA, 2015; </w:t>
      </w:r>
      <w:r w:rsidR="007B0CE1" w:rsidRPr="00C56FA0">
        <w:rPr>
          <w:rFonts w:ascii="Times New Roman" w:hAnsi="Times New Roman" w:cs="Times New Roman"/>
        </w:rPr>
        <w:t xml:space="preserve">GUIMARÃES; MACEDO; CRUZ, 2016; </w:t>
      </w:r>
      <w:r w:rsidR="00501BAE">
        <w:rPr>
          <w:rFonts w:ascii="Times New Roman" w:hAnsi="Times New Roman" w:cs="Times New Roman"/>
        </w:rPr>
        <w:t xml:space="preserve">CABEDA; FARIAS, 2019; </w:t>
      </w:r>
      <w:r w:rsidR="00326065" w:rsidRPr="00C56FA0">
        <w:rPr>
          <w:rFonts w:ascii="Times New Roman" w:hAnsi="Times New Roman" w:cs="Times New Roman"/>
        </w:rPr>
        <w:t>RODRIGUES; GALDI, 2020)</w:t>
      </w:r>
      <w:r w:rsidR="00423629">
        <w:rPr>
          <w:rFonts w:ascii="Times New Roman" w:hAnsi="Times New Roman" w:cs="Times New Roman"/>
        </w:rPr>
        <w:t xml:space="preserve">; </w:t>
      </w:r>
      <w:r w:rsidR="007A6352" w:rsidRPr="00752C34">
        <w:rPr>
          <w:rFonts w:ascii="Times New Roman" w:hAnsi="Times New Roman" w:cs="Times New Roman"/>
          <w:i/>
          <w:iCs/>
        </w:rPr>
        <w:t>(</w:t>
      </w:r>
      <w:proofErr w:type="spellStart"/>
      <w:r w:rsidR="007A6352">
        <w:rPr>
          <w:rFonts w:ascii="Times New Roman" w:hAnsi="Times New Roman" w:cs="Times New Roman"/>
          <w:i/>
          <w:iCs/>
        </w:rPr>
        <w:t>ii</w:t>
      </w:r>
      <w:proofErr w:type="spellEnd"/>
      <w:r w:rsidR="007A6352" w:rsidRPr="00752C34">
        <w:rPr>
          <w:rFonts w:ascii="Times New Roman" w:hAnsi="Times New Roman" w:cs="Times New Roman"/>
          <w:i/>
          <w:iCs/>
        </w:rPr>
        <w:t>)</w:t>
      </w:r>
      <w:r w:rsidR="007A6352">
        <w:rPr>
          <w:rFonts w:ascii="Times New Roman" w:hAnsi="Times New Roman" w:cs="Times New Roman"/>
        </w:rPr>
        <w:t xml:space="preserve"> pesquisas que </w:t>
      </w:r>
      <w:r w:rsidR="00150A47">
        <w:rPr>
          <w:rFonts w:ascii="Times New Roman" w:hAnsi="Times New Roman" w:cs="Times New Roman"/>
        </w:rPr>
        <w:t>objetivaram</w:t>
      </w:r>
      <w:r w:rsidR="007A6352">
        <w:rPr>
          <w:rFonts w:ascii="Times New Roman" w:hAnsi="Times New Roman" w:cs="Times New Roman"/>
        </w:rPr>
        <w:t xml:space="preserve"> aferir o nível de gestão ou agressividade tributária </w:t>
      </w:r>
      <w:r w:rsidR="007A6352" w:rsidRPr="00C56FA0">
        <w:rPr>
          <w:rFonts w:ascii="Times New Roman" w:hAnsi="Times New Roman" w:cs="Times New Roman"/>
        </w:rPr>
        <w:t>(</w:t>
      </w:r>
      <w:r w:rsidR="0074682B">
        <w:rPr>
          <w:rFonts w:ascii="Times New Roman" w:hAnsi="Times New Roman" w:cs="Times New Roman"/>
        </w:rPr>
        <w:t xml:space="preserve">MARTINEZ; RAMALHO, 2014; </w:t>
      </w:r>
      <w:r w:rsidR="007A6352" w:rsidRPr="00C56FA0">
        <w:rPr>
          <w:rFonts w:ascii="Times New Roman" w:hAnsi="Times New Roman" w:cs="Times New Roman"/>
        </w:rPr>
        <w:t xml:space="preserve">GOMES, 2016; </w:t>
      </w:r>
      <w:r w:rsidR="007A6352">
        <w:rPr>
          <w:rFonts w:ascii="Times New Roman" w:hAnsi="Times New Roman" w:cs="Times New Roman"/>
        </w:rPr>
        <w:t xml:space="preserve">SILVA, 2018; </w:t>
      </w:r>
      <w:r w:rsidR="007A6352" w:rsidRPr="00C56FA0">
        <w:rPr>
          <w:rFonts w:ascii="Times New Roman" w:hAnsi="Times New Roman" w:cs="Times New Roman"/>
        </w:rPr>
        <w:t>OLIVEIRA JR.; MOREIRA; SOUZA, 2020; HARTMANN; MARTINEZ, 2020)</w:t>
      </w:r>
      <w:r w:rsidR="007A6352">
        <w:rPr>
          <w:rFonts w:ascii="Times New Roman" w:hAnsi="Times New Roman" w:cs="Times New Roman"/>
        </w:rPr>
        <w:t>; e</w:t>
      </w:r>
      <w:r w:rsidR="007A6352" w:rsidRPr="00752C34">
        <w:rPr>
          <w:rFonts w:ascii="Times New Roman" w:hAnsi="Times New Roman" w:cs="Times New Roman"/>
          <w:i/>
          <w:iCs/>
        </w:rPr>
        <w:t xml:space="preserve"> (</w:t>
      </w:r>
      <w:proofErr w:type="spellStart"/>
      <w:r w:rsidR="007A6352">
        <w:rPr>
          <w:rFonts w:ascii="Times New Roman" w:hAnsi="Times New Roman" w:cs="Times New Roman"/>
          <w:i/>
          <w:iCs/>
        </w:rPr>
        <w:t>iii</w:t>
      </w:r>
      <w:proofErr w:type="spellEnd"/>
      <w:r w:rsidR="007A6352" w:rsidRPr="00752C34">
        <w:rPr>
          <w:rFonts w:ascii="Times New Roman" w:hAnsi="Times New Roman" w:cs="Times New Roman"/>
          <w:i/>
          <w:iCs/>
        </w:rPr>
        <w:t>)</w:t>
      </w:r>
      <w:r w:rsidR="007A6352">
        <w:rPr>
          <w:rFonts w:ascii="Times New Roman" w:hAnsi="Times New Roman" w:cs="Times New Roman"/>
        </w:rPr>
        <w:t xml:space="preserve"> pesquisas sobre a estrutura de capital das empresas, </w:t>
      </w:r>
      <w:r w:rsidR="00150A47">
        <w:rPr>
          <w:rFonts w:ascii="Times New Roman" w:hAnsi="Times New Roman" w:cs="Times New Roman"/>
        </w:rPr>
        <w:t xml:space="preserve">nas quais a ETR foi utilizada </w:t>
      </w:r>
      <w:r w:rsidR="00FE4113">
        <w:rPr>
          <w:rFonts w:ascii="Times New Roman" w:hAnsi="Times New Roman" w:cs="Times New Roman"/>
        </w:rPr>
        <w:t>como</w:t>
      </w:r>
      <w:r w:rsidR="007A6352">
        <w:rPr>
          <w:rFonts w:ascii="Times New Roman" w:hAnsi="Times New Roman" w:cs="Times New Roman"/>
        </w:rPr>
        <w:t xml:space="preserve"> variável explicativa </w:t>
      </w:r>
      <w:r w:rsidR="007A6352" w:rsidRPr="004D2082">
        <w:rPr>
          <w:rFonts w:ascii="Times New Roman" w:hAnsi="Times New Roman" w:cs="Times New Roman"/>
        </w:rPr>
        <w:t>(</w:t>
      </w:r>
      <w:r w:rsidR="007A6352">
        <w:rPr>
          <w:rFonts w:ascii="Times New Roman" w:hAnsi="Times New Roman" w:cs="Times New Roman"/>
        </w:rPr>
        <w:t xml:space="preserve">BASTOS; NAKAMURA, 2009; FUTEMA; BASSO; KAYO, 2009; </w:t>
      </w:r>
      <w:r w:rsidR="007A6352" w:rsidRPr="004D2082">
        <w:rPr>
          <w:rFonts w:ascii="Times New Roman" w:hAnsi="Times New Roman" w:cs="Times New Roman"/>
        </w:rPr>
        <w:t>POHLMANN; IUDÍCIBUS, 2010</w:t>
      </w:r>
      <w:r w:rsidR="00271A40">
        <w:rPr>
          <w:rFonts w:ascii="Times New Roman" w:hAnsi="Times New Roman" w:cs="Times New Roman"/>
        </w:rPr>
        <w:t>; MOREIRA; SILVA, 2019</w:t>
      </w:r>
      <w:r w:rsidR="007A6352" w:rsidRPr="004D2082">
        <w:rPr>
          <w:rFonts w:ascii="Times New Roman" w:hAnsi="Times New Roman" w:cs="Times New Roman"/>
        </w:rPr>
        <w:t>)</w:t>
      </w:r>
      <w:r w:rsidR="007A6352">
        <w:rPr>
          <w:rFonts w:ascii="Times New Roman" w:hAnsi="Times New Roman" w:cs="Times New Roman"/>
        </w:rPr>
        <w:t>.</w:t>
      </w:r>
    </w:p>
    <w:p w14:paraId="35EE4F38" w14:textId="04477135" w:rsidR="00FC6AA4" w:rsidRDefault="00FC6AA4" w:rsidP="001D0599">
      <w:pPr>
        <w:spacing w:after="120"/>
        <w:ind w:firstLine="709"/>
        <w:jc w:val="both"/>
        <w:rPr>
          <w:rFonts w:ascii="Times New Roman" w:hAnsi="Times New Roman" w:cs="Times New Roman"/>
        </w:rPr>
      </w:pPr>
      <w:r w:rsidRPr="004D2082">
        <w:rPr>
          <w:rFonts w:ascii="Times New Roman" w:hAnsi="Times New Roman" w:cs="Times New Roman"/>
        </w:rPr>
        <w:t xml:space="preserve">Analisando o comportamento de empresas listadas na B3 entre os anos de 2009 a 2013,  Martinez e Motta (2020) buscaram identificar se a influência do controle estatal nas sociedades de economia mista (6 controladas pelo governo federal e 19 por governos estaduais), em comparação com empresas </w:t>
      </w:r>
      <w:r w:rsidR="00BB7AD1">
        <w:rPr>
          <w:rFonts w:ascii="Times New Roman" w:hAnsi="Times New Roman" w:cs="Times New Roman"/>
        </w:rPr>
        <w:t>de</w:t>
      </w:r>
      <w:r w:rsidRPr="004D2082">
        <w:rPr>
          <w:rFonts w:ascii="Times New Roman" w:hAnsi="Times New Roman" w:cs="Times New Roman"/>
        </w:rPr>
        <w:t xml:space="preserve"> controle privado (291 companhias), resultaria </w:t>
      </w:r>
      <w:r w:rsidR="00BB7AD1">
        <w:rPr>
          <w:rFonts w:ascii="Times New Roman" w:hAnsi="Times New Roman" w:cs="Times New Roman"/>
        </w:rPr>
        <w:t xml:space="preserve">em variação quanto ao nível de </w:t>
      </w:r>
      <w:r w:rsidR="009D5D63">
        <w:rPr>
          <w:rFonts w:ascii="Times New Roman" w:hAnsi="Times New Roman" w:cs="Times New Roman"/>
        </w:rPr>
        <w:t>gestão</w:t>
      </w:r>
      <w:r w:rsidR="00BB7AD1">
        <w:rPr>
          <w:rFonts w:ascii="Times New Roman" w:hAnsi="Times New Roman" w:cs="Times New Roman"/>
        </w:rPr>
        <w:t xml:space="preserve"> tributári</w:t>
      </w:r>
      <w:r w:rsidR="009D5D63">
        <w:rPr>
          <w:rFonts w:ascii="Times New Roman" w:hAnsi="Times New Roman" w:cs="Times New Roman"/>
        </w:rPr>
        <w:t>a</w:t>
      </w:r>
      <w:r w:rsidRPr="004D2082">
        <w:rPr>
          <w:rFonts w:ascii="Times New Roman" w:hAnsi="Times New Roman" w:cs="Times New Roman"/>
        </w:rPr>
        <w:t>, concluindo que as primeiras apresentaram uma ETR mais elevada, o que indicaria uma menor agressividade fiscal.</w:t>
      </w:r>
      <w:r w:rsidRPr="00561F2E">
        <w:rPr>
          <w:rFonts w:ascii="Times New Roman" w:hAnsi="Times New Roman" w:cs="Times New Roman"/>
        </w:rPr>
        <w:t xml:space="preserve"> </w:t>
      </w:r>
    </w:p>
    <w:p w14:paraId="1261D5D6" w14:textId="77777777" w:rsidR="00FC6AA4" w:rsidRPr="004D2082" w:rsidRDefault="00FC6AA4" w:rsidP="001D0599">
      <w:pPr>
        <w:spacing w:after="120"/>
        <w:ind w:firstLine="709"/>
        <w:jc w:val="both"/>
        <w:rPr>
          <w:rFonts w:ascii="Times New Roman" w:hAnsi="Times New Roman" w:cs="Times New Roman"/>
        </w:rPr>
      </w:pPr>
      <w:r w:rsidRPr="004D2082">
        <w:rPr>
          <w:rFonts w:ascii="Times New Roman" w:hAnsi="Times New Roman" w:cs="Times New Roman"/>
        </w:rPr>
        <w:t>Rodrigues e Galdi (2020) perscrutaram os dados relativos aos anos de 2010 a 2015 de 500 empresas de capital aberto, em confronto com os dados de 498 empresas de capital fechado, para concluir que as empresas fechadas possuem um ETR maior que as demais. Em outra abordagem, Hartmann e Martinez (2020) concluíram que companhias auditadas por grandes empresas de auditoria (Big</w:t>
      </w:r>
      <w:r>
        <w:rPr>
          <w:rFonts w:ascii="Times New Roman" w:hAnsi="Times New Roman" w:cs="Times New Roman"/>
        </w:rPr>
        <w:t xml:space="preserve"> </w:t>
      </w:r>
      <w:r w:rsidRPr="004D2082">
        <w:rPr>
          <w:rFonts w:ascii="Times New Roman" w:hAnsi="Times New Roman" w:cs="Times New Roman"/>
        </w:rPr>
        <w:t>4) apresentam agressividade tributária inferior às empresas que se utilizam de outras auditorias.</w:t>
      </w:r>
    </w:p>
    <w:p w14:paraId="4E5538F3" w14:textId="16F3004A" w:rsidR="00FC6AA4" w:rsidRPr="004D2082" w:rsidRDefault="00FC6AA4" w:rsidP="001D0599">
      <w:pPr>
        <w:spacing w:after="120"/>
        <w:ind w:firstLine="709"/>
        <w:jc w:val="both"/>
        <w:rPr>
          <w:rFonts w:ascii="Times New Roman" w:hAnsi="Times New Roman" w:cs="Times New Roman"/>
        </w:rPr>
      </w:pPr>
      <w:r w:rsidRPr="004D2082">
        <w:rPr>
          <w:rFonts w:ascii="Times New Roman" w:hAnsi="Times New Roman" w:cs="Times New Roman"/>
        </w:rPr>
        <w:t xml:space="preserve">Em estudo voltado para identificar o efeito da governança tributária sobre o custo de capital de uma amostra de 60 empresas brasileiras no período de 2012 a 2016, com uso de painel de dados </w:t>
      </w:r>
      <w:proofErr w:type="spellStart"/>
      <w:r w:rsidRPr="004D2082">
        <w:rPr>
          <w:rFonts w:ascii="Times New Roman" w:hAnsi="Times New Roman" w:cs="Times New Roman"/>
          <w:i/>
          <w:iCs/>
        </w:rPr>
        <w:t>pooled</w:t>
      </w:r>
      <w:proofErr w:type="spellEnd"/>
      <w:r w:rsidRPr="004D2082">
        <w:rPr>
          <w:rFonts w:ascii="Times New Roman" w:hAnsi="Times New Roman" w:cs="Times New Roman"/>
        </w:rPr>
        <w:t>, Moreira e Silva (2019</w:t>
      </w:r>
      <w:r w:rsidR="00BB7AD1">
        <w:rPr>
          <w:rFonts w:ascii="Times New Roman" w:hAnsi="Times New Roman" w:cs="Times New Roman"/>
        </w:rPr>
        <w:t>, p. 18</w:t>
      </w:r>
      <w:r w:rsidRPr="004D2082">
        <w:rPr>
          <w:rFonts w:ascii="Times New Roman" w:hAnsi="Times New Roman" w:cs="Times New Roman"/>
        </w:rPr>
        <w:t xml:space="preserve">) concluíram que a variável independente ETR não apresentou significância estatística para explicar o custo de capital próprio das empresas analisadas, enquanto a variável </w:t>
      </w:r>
      <w:proofErr w:type="spellStart"/>
      <w:r w:rsidRPr="004D2082">
        <w:rPr>
          <w:rFonts w:ascii="Times New Roman" w:hAnsi="Times New Roman" w:cs="Times New Roman"/>
        </w:rPr>
        <w:t>CashETR</w:t>
      </w:r>
      <w:proofErr w:type="spellEnd"/>
      <w:r w:rsidRPr="004D2082">
        <w:rPr>
          <w:rFonts w:ascii="Times New Roman" w:hAnsi="Times New Roman" w:cs="Times New Roman"/>
        </w:rPr>
        <w:t xml:space="preserve"> apresentou significância positiva, indicando que “quanto maior for a alíquota efetiva de tributos analisada no longo prazo, maior é o retorno exigido pelos investidores na aplicação dos recursos”. Ainda sob o enfoque da governança corporativa, Gomes (2016) observou as ETR e </w:t>
      </w:r>
      <w:proofErr w:type="spellStart"/>
      <w:r w:rsidRPr="004D2082">
        <w:rPr>
          <w:rFonts w:ascii="Times New Roman" w:hAnsi="Times New Roman" w:cs="Times New Roman"/>
        </w:rPr>
        <w:t>CashETR</w:t>
      </w:r>
      <w:proofErr w:type="spellEnd"/>
      <w:r w:rsidRPr="004D2082">
        <w:rPr>
          <w:rFonts w:ascii="Times New Roman" w:hAnsi="Times New Roman" w:cs="Times New Roman"/>
        </w:rPr>
        <w:t xml:space="preserve"> de 355 empresas de capital aberto no</w:t>
      </w:r>
      <w:r>
        <w:rPr>
          <w:rFonts w:ascii="Times New Roman" w:hAnsi="Times New Roman" w:cs="Times New Roman"/>
        </w:rPr>
        <w:t>s</w:t>
      </w:r>
      <w:r w:rsidRPr="004D2082">
        <w:rPr>
          <w:rFonts w:ascii="Times New Roman" w:hAnsi="Times New Roman" w:cs="Times New Roman"/>
        </w:rPr>
        <w:t xml:space="preserve"> anos de 2008 a 2014 para concluir que a remuneração variável oferecida aos executivos influencia na gestão tributária das empresas.</w:t>
      </w:r>
    </w:p>
    <w:p w14:paraId="400755CD" w14:textId="53D111EF" w:rsidR="00FC6AA4" w:rsidRDefault="00FC6AA4" w:rsidP="001D0599">
      <w:pPr>
        <w:spacing w:after="120"/>
        <w:ind w:firstLine="709"/>
        <w:jc w:val="both"/>
        <w:rPr>
          <w:rFonts w:ascii="Times New Roman" w:hAnsi="Times New Roman" w:cs="Times New Roman"/>
        </w:rPr>
      </w:pPr>
      <w:proofErr w:type="spellStart"/>
      <w:r>
        <w:rPr>
          <w:rFonts w:ascii="Times New Roman" w:hAnsi="Times New Roman" w:cs="Times New Roman"/>
        </w:rPr>
        <w:t>Cabello</w:t>
      </w:r>
      <w:proofErr w:type="spellEnd"/>
      <w:r>
        <w:rPr>
          <w:rFonts w:ascii="Times New Roman" w:hAnsi="Times New Roman" w:cs="Times New Roman"/>
        </w:rPr>
        <w:t xml:space="preserve"> e Pereira (2015) concluíram que a combinação entre o setor de atividade econômica e as práticas contábeis adotadas explicam estatisticamente a variância das ETR. A pesquisa abrangeu uma amostra de 250 empresas em 2009 e 272 empresas em 2010, para as quais foram calculadas as ETR correntes, em análise estatística realizada a partir de modelo</w:t>
      </w:r>
      <w:r w:rsidR="009D5D63">
        <w:rPr>
          <w:rFonts w:ascii="Times New Roman" w:hAnsi="Times New Roman" w:cs="Times New Roman"/>
        </w:rPr>
        <w:t xml:space="preserve"> </w:t>
      </w:r>
      <w:r>
        <w:rPr>
          <w:rFonts w:ascii="Times New Roman" w:hAnsi="Times New Roman" w:cs="Times New Roman"/>
        </w:rPr>
        <w:t>linear</w:t>
      </w:r>
      <w:r w:rsidR="009D5D63">
        <w:rPr>
          <w:rFonts w:ascii="Times New Roman" w:hAnsi="Times New Roman" w:cs="Times New Roman"/>
        </w:rPr>
        <w:t xml:space="preserve"> geral</w:t>
      </w:r>
      <w:r>
        <w:rPr>
          <w:rFonts w:ascii="Times New Roman" w:hAnsi="Times New Roman" w:cs="Times New Roman"/>
        </w:rPr>
        <w:t>. As práticas contábeis testadas incluíram o pagamento de juros sobre o capital próprio (JCP), a reorganização societária e incentivos fiscais para o IRPJ e a CSLL.</w:t>
      </w:r>
    </w:p>
    <w:p w14:paraId="376B9625" w14:textId="77777777" w:rsidR="00BB7AD1" w:rsidRDefault="00FC6AA4" w:rsidP="001D0599">
      <w:pPr>
        <w:spacing w:after="120"/>
        <w:ind w:firstLine="709"/>
        <w:jc w:val="both"/>
        <w:rPr>
          <w:rFonts w:ascii="Times New Roman" w:hAnsi="Times New Roman" w:cs="Times New Roman"/>
        </w:rPr>
      </w:pPr>
      <w:r>
        <w:rPr>
          <w:rFonts w:ascii="Times New Roman" w:hAnsi="Times New Roman" w:cs="Times New Roman"/>
        </w:rPr>
        <w:t xml:space="preserve">Santos, Cavalcante e Rodrigues (2013) verificaram que o endividamento e o tamanho do ativo são as variáveis econômicas independentes que mais influenciaram o ETR corrente, </w:t>
      </w:r>
      <w:r>
        <w:rPr>
          <w:rFonts w:ascii="Times New Roman" w:hAnsi="Times New Roman" w:cs="Times New Roman"/>
        </w:rPr>
        <w:lastRenderedPageBreak/>
        <w:t xml:space="preserve">em estudo abrangendo 565 firmas no período de 1997 a 2011, realizada mediante teste de significância de coeficientes. Constataram, ainda, que as ETR correntes médias apresentaram redução no período de 2008 a 2011, passando de 8,52% em 2008 e 2009 para 6,88% em 2010 e 2011 (vigência do RTT). </w:t>
      </w:r>
    </w:p>
    <w:p w14:paraId="19F34B3C" w14:textId="356BE993" w:rsidR="00BB7AD1" w:rsidRDefault="00BB7AD1" w:rsidP="001D0599">
      <w:pPr>
        <w:spacing w:after="120"/>
        <w:ind w:firstLine="709"/>
        <w:jc w:val="both"/>
        <w:rPr>
          <w:rFonts w:ascii="Times New Roman" w:hAnsi="Times New Roman" w:cs="Times New Roman"/>
        </w:rPr>
      </w:pPr>
      <w:r>
        <w:rPr>
          <w:rFonts w:ascii="Times New Roman" w:hAnsi="Times New Roman" w:cs="Times New Roman"/>
        </w:rPr>
        <w:t xml:space="preserve">Os fatores determinantes da ETR incidente sobre empresas de economias emergentes foram apontados por </w:t>
      </w:r>
      <w:proofErr w:type="spellStart"/>
      <w:r>
        <w:rPr>
          <w:rFonts w:ascii="Times New Roman" w:hAnsi="Times New Roman" w:cs="Times New Roman"/>
        </w:rPr>
        <w:t>Fernándes</w:t>
      </w:r>
      <w:proofErr w:type="spellEnd"/>
      <w:r>
        <w:rPr>
          <w:rFonts w:ascii="Times New Roman" w:hAnsi="Times New Roman" w:cs="Times New Roman"/>
        </w:rPr>
        <w:t>-Rodriguez, Garcia-Fernández e Martínez-Arias (2020), que analisaram dados dos anos de 2006 a 2015 de 7844 empresas de capital aberto localizadas nos países componentes do BRICS (Brasil, Rússia, Índia, China e África do Sul) e do MINT (México, Indonésia, Nigéria e Tunísia), considerando ainda fatores institucionais característicos de cada um desses países (LTR, nível de desenvolvimento, índice de liberdade econômica, produto interno bruto e qualidade das instituições).</w:t>
      </w:r>
    </w:p>
    <w:p w14:paraId="033BF8D4" w14:textId="576ED6EB" w:rsidR="00CF4276" w:rsidRDefault="0063088A" w:rsidP="001D0599">
      <w:pPr>
        <w:spacing w:after="120"/>
        <w:ind w:firstLine="709"/>
        <w:jc w:val="both"/>
        <w:rPr>
          <w:rFonts w:ascii="Times New Roman" w:hAnsi="Times New Roman" w:cs="Times New Roman"/>
        </w:rPr>
      </w:pPr>
      <w:r w:rsidRPr="004D2082">
        <w:rPr>
          <w:rFonts w:ascii="Times New Roman" w:hAnsi="Times New Roman" w:cs="Times New Roman"/>
        </w:rPr>
        <w:t>Os efeitos do Regime Transitório de Tributação – RTT foram objeto do estudo realizado por Guimarães, Macedo e Cruz (2016) que analis</w:t>
      </w:r>
      <w:r>
        <w:rPr>
          <w:rFonts w:ascii="Times New Roman" w:hAnsi="Times New Roman" w:cs="Times New Roman"/>
        </w:rPr>
        <w:t>aram</w:t>
      </w:r>
      <w:r w:rsidRPr="004D2082">
        <w:rPr>
          <w:rFonts w:ascii="Times New Roman" w:hAnsi="Times New Roman" w:cs="Times New Roman"/>
        </w:rPr>
        <w:t xml:space="preserve"> a alíquota efetiva dos tributos no período de 2003 a 2013, </w:t>
      </w:r>
      <w:r w:rsidR="00150A47">
        <w:rPr>
          <w:rFonts w:ascii="Times New Roman" w:hAnsi="Times New Roman" w:cs="Times New Roman"/>
        </w:rPr>
        <w:t>mensurada pela</w:t>
      </w:r>
      <w:r w:rsidRPr="004D2082">
        <w:rPr>
          <w:rFonts w:ascii="Times New Roman" w:hAnsi="Times New Roman" w:cs="Times New Roman"/>
        </w:rPr>
        <w:t xml:space="preserve"> </w:t>
      </w:r>
      <w:r w:rsidR="000603E0">
        <w:rPr>
          <w:rFonts w:ascii="Times New Roman" w:hAnsi="Times New Roman" w:cs="Times New Roman"/>
        </w:rPr>
        <w:t>ETR total (</w:t>
      </w:r>
      <w:proofErr w:type="spellStart"/>
      <w:r w:rsidRPr="004D2082">
        <w:rPr>
          <w:rFonts w:ascii="Times New Roman" w:hAnsi="Times New Roman" w:cs="Times New Roman"/>
        </w:rPr>
        <w:t>ETRt</w:t>
      </w:r>
      <w:proofErr w:type="spellEnd"/>
      <w:r w:rsidR="000603E0">
        <w:rPr>
          <w:rFonts w:ascii="Times New Roman" w:hAnsi="Times New Roman" w:cs="Times New Roman"/>
        </w:rPr>
        <w:t>)</w:t>
      </w:r>
      <w:r w:rsidRPr="004D2082">
        <w:rPr>
          <w:rFonts w:ascii="Times New Roman" w:hAnsi="Times New Roman" w:cs="Times New Roman"/>
        </w:rPr>
        <w:t xml:space="preserve"> e </w:t>
      </w:r>
      <w:r w:rsidR="000603E0">
        <w:rPr>
          <w:rFonts w:ascii="Times New Roman" w:hAnsi="Times New Roman" w:cs="Times New Roman"/>
        </w:rPr>
        <w:t>a ETR corrente (</w:t>
      </w:r>
      <w:proofErr w:type="spellStart"/>
      <w:r w:rsidRPr="004D2082">
        <w:rPr>
          <w:rFonts w:ascii="Times New Roman" w:hAnsi="Times New Roman" w:cs="Times New Roman"/>
        </w:rPr>
        <w:t>ETRc</w:t>
      </w:r>
      <w:proofErr w:type="spellEnd"/>
      <w:r w:rsidR="000603E0">
        <w:rPr>
          <w:rFonts w:ascii="Times New Roman" w:hAnsi="Times New Roman" w:cs="Times New Roman"/>
        </w:rPr>
        <w:t>)</w:t>
      </w:r>
      <w:r w:rsidRPr="004D2082">
        <w:rPr>
          <w:rFonts w:ascii="Times New Roman" w:hAnsi="Times New Roman" w:cs="Times New Roman"/>
        </w:rPr>
        <w:t>, concluindo que os ajustes contábeis decorrentes desse regime resultaram em carga tributária menor</w:t>
      </w:r>
      <w:r w:rsidR="00150A47">
        <w:rPr>
          <w:rFonts w:ascii="Times New Roman" w:hAnsi="Times New Roman" w:cs="Times New Roman"/>
        </w:rPr>
        <w:t xml:space="preserve"> na comparação com o regime anterior</w:t>
      </w:r>
      <w:r w:rsidRPr="004D2082">
        <w:rPr>
          <w:rFonts w:ascii="Times New Roman" w:hAnsi="Times New Roman" w:cs="Times New Roman"/>
        </w:rPr>
        <w:t xml:space="preserve">. </w:t>
      </w:r>
      <w:r w:rsidR="000603E0">
        <w:rPr>
          <w:rFonts w:ascii="Times New Roman" w:hAnsi="Times New Roman" w:cs="Times New Roman"/>
        </w:rPr>
        <w:t>N</w:t>
      </w:r>
      <w:r w:rsidRPr="004D2082">
        <w:rPr>
          <w:rFonts w:ascii="Times New Roman" w:hAnsi="Times New Roman" w:cs="Times New Roman"/>
        </w:rPr>
        <w:t>o mesmo sentido, Cabeda e Farias (2019), ao analisarem 2</w:t>
      </w:r>
      <w:r>
        <w:rPr>
          <w:rFonts w:ascii="Times New Roman" w:hAnsi="Times New Roman" w:cs="Times New Roman"/>
        </w:rPr>
        <w:t>.</w:t>
      </w:r>
      <w:r w:rsidRPr="004D2082">
        <w:rPr>
          <w:rFonts w:ascii="Times New Roman" w:hAnsi="Times New Roman" w:cs="Times New Roman"/>
        </w:rPr>
        <w:t>037 empresas no período de 2008 a 2018, identificaram tendência de redução da</w:t>
      </w:r>
      <w:r w:rsidR="000603E0">
        <w:rPr>
          <w:rFonts w:ascii="Times New Roman" w:hAnsi="Times New Roman" w:cs="Times New Roman"/>
        </w:rPr>
        <w:t>s</w:t>
      </w:r>
      <w:r w:rsidRPr="004D2082">
        <w:rPr>
          <w:rFonts w:ascii="Times New Roman" w:hAnsi="Times New Roman" w:cs="Times New Roman"/>
        </w:rPr>
        <w:t xml:space="preserve"> ETR</w:t>
      </w:r>
      <w:r w:rsidR="000603E0">
        <w:rPr>
          <w:rFonts w:ascii="Times New Roman" w:hAnsi="Times New Roman" w:cs="Times New Roman"/>
        </w:rPr>
        <w:t xml:space="preserve"> correntes</w:t>
      </w:r>
      <w:r w:rsidRPr="004D2082">
        <w:rPr>
          <w:rFonts w:ascii="Times New Roman" w:hAnsi="Times New Roman" w:cs="Times New Roman"/>
        </w:rPr>
        <w:t xml:space="preserve"> a partir do início </w:t>
      </w:r>
      <w:r w:rsidR="000603E0">
        <w:rPr>
          <w:rFonts w:ascii="Times New Roman" w:hAnsi="Times New Roman" w:cs="Times New Roman"/>
        </w:rPr>
        <w:t>da vigência da Lei nº 12.973</w:t>
      </w:r>
      <w:r w:rsidR="009B6610">
        <w:rPr>
          <w:rFonts w:ascii="Times New Roman" w:hAnsi="Times New Roman" w:cs="Times New Roman"/>
        </w:rPr>
        <w:t>/2</w:t>
      </w:r>
      <w:r w:rsidR="000603E0">
        <w:rPr>
          <w:rFonts w:ascii="Times New Roman" w:hAnsi="Times New Roman" w:cs="Times New Roman"/>
        </w:rPr>
        <w:t>014</w:t>
      </w:r>
      <w:r w:rsidRPr="004D2082">
        <w:rPr>
          <w:rFonts w:ascii="Times New Roman" w:hAnsi="Times New Roman" w:cs="Times New Roman"/>
        </w:rPr>
        <w:t>, situação que os autores não constataram no período do RTT.</w:t>
      </w:r>
      <w:r>
        <w:rPr>
          <w:rFonts w:ascii="Times New Roman" w:hAnsi="Times New Roman" w:cs="Times New Roman"/>
        </w:rPr>
        <w:t xml:space="preserve"> </w:t>
      </w:r>
      <w:r w:rsidR="000603E0">
        <w:rPr>
          <w:rFonts w:ascii="Times New Roman" w:hAnsi="Times New Roman" w:cs="Times New Roman"/>
        </w:rPr>
        <w:t>F</w:t>
      </w:r>
      <w:r w:rsidR="00271A40">
        <w:rPr>
          <w:rFonts w:ascii="Times New Roman" w:hAnsi="Times New Roman" w:cs="Times New Roman"/>
        </w:rPr>
        <w:t>oi verificado</w:t>
      </w:r>
      <w:r w:rsidR="00150A47">
        <w:rPr>
          <w:rFonts w:ascii="Times New Roman" w:hAnsi="Times New Roman" w:cs="Times New Roman"/>
        </w:rPr>
        <w:t>,</w:t>
      </w:r>
      <w:r w:rsidR="00271A40">
        <w:rPr>
          <w:rFonts w:ascii="Times New Roman" w:hAnsi="Times New Roman" w:cs="Times New Roman"/>
        </w:rPr>
        <w:t xml:space="preserve"> </w:t>
      </w:r>
      <w:r w:rsidR="000603E0">
        <w:rPr>
          <w:rFonts w:ascii="Times New Roman" w:hAnsi="Times New Roman" w:cs="Times New Roman"/>
        </w:rPr>
        <w:t>ainda</w:t>
      </w:r>
      <w:r w:rsidR="00150A47">
        <w:rPr>
          <w:rFonts w:ascii="Times New Roman" w:hAnsi="Times New Roman" w:cs="Times New Roman"/>
        </w:rPr>
        <w:t>,</w:t>
      </w:r>
      <w:r w:rsidR="000603E0">
        <w:rPr>
          <w:rFonts w:ascii="Times New Roman" w:hAnsi="Times New Roman" w:cs="Times New Roman"/>
        </w:rPr>
        <w:t xml:space="preserve"> </w:t>
      </w:r>
      <w:r w:rsidR="00271A40">
        <w:rPr>
          <w:rFonts w:ascii="Times New Roman" w:hAnsi="Times New Roman" w:cs="Times New Roman"/>
        </w:rPr>
        <w:t>que as medianas das ETR correntes obtidas a partir das informações financeiras consolidadas</w:t>
      </w:r>
      <w:r w:rsidR="00150A47">
        <w:rPr>
          <w:rFonts w:ascii="Times New Roman" w:hAnsi="Times New Roman" w:cs="Times New Roman"/>
        </w:rPr>
        <w:t xml:space="preserve"> das empresas</w:t>
      </w:r>
      <w:r w:rsidR="00271A40">
        <w:rPr>
          <w:rFonts w:ascii="Times New Roman" w:hAnsi="Times New Roman" w:cs="Times New Roman"/>
        </w:rPr>
        <w:t xml:space="preserve"> resultaram superiores à</w:t>
      </w:r>
      <w:r w:rsidR="000603E0">
        <w:rPr>
          <w:rFonts w:ascii="Times New Roman" w:hAnsi="Times New Roman" w:cs="Times New Roman"/>
        </w:rPr>
        <w:t>quelas</w:t>
      </w:r>
      <w:r w:rsidR="00271A40">
        <w:rPr>
          <w:rFonts w:ascii="Times New Roman" w:hAnsi="Times New Roman" w:cs="Times New Roman"/>
        </w:rPr>
        <w:t xml:space="preserve"> calculadas com base nas informações individuais.</w:t>
      </w:r>
    </w:p>
    <w:p w14:paraId="5237CA44" w14:textId="77777777" w:rsidR="00D8273B" w:rsidRDefault="00D8273B" w:rsidP="009862D6">
      <w:pPr>
        <w:spacing w:after="120"/>
        <w:jc w:val="both"/>
        <w:rPr>
          <w:rFonts w:ascii="Times New Roman" w:hAnsi="Times New Roman" w:cs="Times New Roman"/>
        </w:rPr>
      </w:pPr>
    </w:p>
    <w:p w14:paraId="17873135" w14:textId="58826760" w:rsidR="008A0476" w:rsidRDefault="008A0476" w:rsidP="00746F27">
      <w:pPr>
        <w:spacing w:after="120"/>
        <w:jc w:val="both"/>
        <w:rPr>
          <w:rFonts w:ascii="Times New Roman" w:hAnsi="Times New Roman" w:cs="Times New Roman"/>
          <w:b/>
          <w:bCs/>
        </w:rPr>
      </w:pPr>
      <w:r>
        <w:rPr>
          <w:rFonts w:ascii="Times New Roman" w:hAnsi="Times New Roman" w:cs="Times New Roman"/>
          <w:b/>
          <w:bCs/>
        </w:rPr>
        <w:t>2.</w:t>
      </w:r>
      <w:r w:rsidR="00F96896">
        <w:rPr>
          <w:rFonts w:ascii="Times New Roman" w:hAnsi="Times New Roman" w:cs="Times New Roman"/>
          <w:b/>
          <w:bCs/>
        </w:rPr>
        <w:t>2</w:t>
      </w:r>
      <w:r>
        <w:rPr>
          <w:rFonts w:ascii="Times New Roman" w:hAnsi="Times New Roman" w:cs="Times New Roman"/>
          <w:b/>
          <w:bCs/>
        </w:rPr>
        <w:t xml:space="preserve"> A </w:t>
      </w:r>
      <w:r w:rsidR="00BF2B0B">
        <w:rPr>
          <w:rFonts w:ascii="Times New Roman" w:hAnsi="Times New Roman" w:cs="Times New Roman"/>
          <w:b/>
          <w:bCs/>
        </w:rPr>
        <w:t xml:space="preserve">utilização da </w:t>
      </w:r>
      <w:r>
        <w:rPr>
          <w:rFonts w:ascii="Times New Roman" w:hAnsi="Times New Roman" w:cs="Times New Roman"/>
          <w:b/>
          <w:bCs/>
        </w:rPr>
        <w:t xml:space="preserve">ETR para aferir </w:t>
      </w:r>
      <w:r w:rsidR="00B56FEC">
        <w:rPr>
          <w:rFonts w:ascii="Times New Roman" w:hAnsi="Times New Roman" w:cs="Times New Roman"/>
          <w:b/>
          <w:bCs/>
        </w:rPr>
        <w:t>a carga tributária imposta pela legislação do IRPJ e da CSLL</w:t>
      </w:r>
      <w:r>
        <w:rPr>
          <w:rFonts w:ascii="Times New Roman" w:hAnsi="Times New Roman" w:cs="Times New Roman"/>
          <w:b/>
          <w:bCs/>
        </w:rPr>
        <w:t xml:space="preserve"> </w:t>
      </w:r>
    </w:p>
    <w:p w14:paraId="6A370F87" w14:textId="2528F142" w:rsidR="007A1E76" w:rsidRDefault="007A1E76" w:rsidP="001D0599">
      <w:pPr>
        <w:spacing w:after="120"/>
        <w:ind w:firstLine="709"/>
        <w:jc w:val="both"/>
        <w:rPr>
          <w:rFonts w:ascii="Times New Roman" w:hAnsi="Times New Roman" w:cs="Times New Roman"/>
        </w:rPr>
      </w:pPr>
      <w:r w:rsidRPr="00C56FA0">
        <w:rPr>
          <w:rFonts w:ascii="Times New Roman" w:hAnsi="Times New Roman" w:cs="Times New Roman"/>
        </w:rPr>
        <w:t xml:space="preserve">Embora a ETR tenha por objetivo estabelecer uma relação entre o lucro e os impostos sobre ele incidentes, não há na literatura consenso quanto </w:t>
      </w:r>
      <w:r>
        <w:rPr>
          <w:rFonts w:ascii="Times New Roman" w:hAnsi="Times New Roman" w:cs="Times New Roman"/>
        </w:rPr>
        <w:t xml:space="preserve">à </w:t>
      </w:r>
      <w:r w:rsidR="00E91C2A">
        <w:rPr>
          <w:rFonts w:ascii="Times New Roman" w:hAnsi="Times New Roman" w:cs="Times New Roman"/>
        </w:rPr>
        <w:t>melhor</w:t>
      </w:r>
      <w:r>
        <w:rPr>
          <w:rFonts w:ascii="Times New Roman" w:hAnsi="Times New Roman" w:cs="Times New Roman"/>
        </w:rPr>
        <w:t xml:space="preserve"> metodologia</w:t>
      </w:r>
      <w:r w:rsidR="00E91C2A">
        <w:rPr>
          <w:rFonts w:ascii="Times New Roman" w:hAnsi="Times New Roman" w:cs="Times New Roman"/>
        </w:rPr>
        <w:t xml:space="preserve"> a ser empregada em seu c</w:t>
      </w:r>
      <w:r w:rsidRPr="00C56FA0">
        <w:rPr>
          <w:rFonts w:ascii="Times New Roman" w:hAnsi="Times New Roman" w:cs="Times New Roman"/>
        </w:rPr>
        <w:t>álculo (SANTOS; CAVALCANTE; RODRIGUES, 2013</w:t>
      </w:r>
      <w:r w:rsidR="0078155B">
        <w:rPr>
          <w:rFonts w:ascii="Times New Roman" w:hAnsi="Times New Roman" w:cs="Times New Roman"/>
        </w:rPr>
        <w:t>; RICHARDSON; LANIS, 2007; CALLIHAN, 1994</w:t>
      </w:r>
      <w:r w:rsidRPr="00C56FA0">
        <w:rPr>
          <w:rFonts w:ascii="Times New Roman" w:hAnsi="Times New Roman" w:cs="Times New Roman"/>
        </w:rPr>
        <w:t>). A questão se coloca, fundamentalmente, pela existência de disposições na legislação tributária que permitem tanto diferir parte do tributo, para pagamento em períodos subsequentes</w:t>
      </w:r>
      <w:r w:rsidR="00E91C2A">
        <w:rPr>
          <w:rFonts w:ascii="Times New Roman" w:hAnsi="Times New Roman" w:cs="Times New Roman"/>
        </w:rPr>
        <w:t>,</w:t>
      </w:r>
      <w:r w:rsidRPr="00C56FA0">
        <w:rPr>
          <w:rFonts w:ascii="Times New Roman" w:hAnsi="Times New Roman" w:cs="Times New Roman"/>
        </w:rPr>
        <w:t xml:space="preserve"> como compensar prejuízos pretéritos na</w:t>
      </w:r>
      <w:r w:rsidR="00E91C2A">
        <w:rPr>
          <w:rFonts w:ascii="Times New Roman" w:hAnsi="Times New Roman" w:cs="Times New Roman"/>
        </w:rPr>
        <w:t>s</w:t>
      </w:r>
      <w:r w:rsidRPr="00C56FA0">
        <w:rPr>
          <w:rFonts w:ascii="Times New Roman" w:hAnsi="Times New Roman" w:cs="Times New Roman"/>
        </w:rPr>
        <w:t xml:space="preserve"> base</w:t>
      </w:r>
      <w:r w:rsidR="00E91C2A">
        <w:rPr>
          <w:rFonts w:ascii="Times New Roman" w:hAnsi="Times New Roman" w:cs="Times New Roman"/>
        </w:rPr>
        <w:t>s</w:t>
      </w:r>
      <w:r w:rsidRPr="00C56FA0">
        <w:rPr>
          <w:rFonts w:ascii="Times New Roman" w:hAnsi="Times New Roman" w:cs="Times New Roman"/>
        </w:rPr>
        <w:t xml:space="preserve"> de cálculo. </w:t>
      </w:r>
      <w:r w:rsidRPr="004D2082">
        <w:rPr>
          <w:rFonts w:ascii="Times New Roman" w:hAnsi="Times New Roman" w:cs="Times New Roman"/>
        </w:rPr>
        <w:t>Nesse sentido, as limitações do uso da ETR para aferir o desempenho de empresas brasileiras em termos de lucro por ação e índice preço/lucro foi destacada por Carvalho et al. (2017).</w:t>
      </w:r>
    </w:p>
    <w:p w14:paraId="7C374C83" w14:textId="156660FA" w:rsidR="00BD09C6" w:rsidRDefault="00BD09C6" w:rsidP="001D0599">
      <w:pPr>
        <w:spacing w:after="120"/>
        <w:ind w:firstLine="709"/>
        <w:jc w:val="both"/>
        <w:rPr>
          <w:rFonts w:ascii="Times New Roman" w:hAnsi="Times New Roman" w:cs="Times New Roman"/>
        </w:rPr>
      </w:pPr>
      <w:r>
        <w:rPr>
          <w:rFonts w:ascii="Times New Roman" w:hAnsi="Times New Roman" w:cs="Times New Roman"/>
        </w:rPr>
        <w:t>De acordo com o</w:t>
      </w:r>
      <w:r w:rsidR="00F74021">
        <w:rPr>
          <w:rFonts w:ascii="Times New Roman" w:hAnsi="Times New Roman" w:cs="Times New Roman"/>
        </w:rPr>
        <w:t xml:space="preserve"> Pronunciamento Técnico</w:t>
      </w:r>
      <w:r>
        <w:rPr>
          <w:rFonts w:ascii="Times New Roman" w:hAnsi="Times New Roman" w:cs="Times New Roman"/>
        </w:rPr>
        <w:t xml:space="preserve"> CPC 32 </w:t>
      </w:r>
      <w:r w:rsidR="0026342C">
        <w:rPr>
          <w:rFonts w:ascii="Times New Roman" w:hAnsi="Times New Roman" w:cs="Times New Roman"/>
        </w:rPr>
        <w:t xml:space="preserve">de </w:t>
      </w:r>
      <w:r>
        <w:rPr>
          <w:rFonts w:ascii="Times New Roman" w:hAnsi="Times New Roman" w:cs="Times New Roman"/>
        </w:rPr>
        <w:t>2009, a despesa ou provisão corrente para o IRPJ e a CSLL mensura a carga tributária incidente sobre o lucro tributário do período. Ocorre que a legislação do IRPJ e da CSLL impõe ou permite o diferimento para fins tributários de um conjunto específico de receitas, custos e despesas, bem como a possibilidade de compensação futura de bases de cálculo negativas e outros benefícios fiscais, dando origem a ativos e passivos fiscais</w:t>
      </w:r>
      <w:r w:rsidR="00CF4276">
        <w:rPr>
          <w:rFonts w:ascii="Times New Roman" w:hAnsi="Times New Roman" w:cs="Times New Roman"/>
        </w:rPr>
        <w:t xml:space="preserve"> diferidos</w:t>
      </w:r>
      <w:r>
        <w:rPr>
          <w:rFonts w:ascii="Times New Roman" w:hAnsi="Times New Roman" w:cs="Times New Roman"/>
        </w:rPr>
        <w:t>, a serem realizados ou liquidados em períodos futuros. Ativo fiscal</w:t>
      </w:r>
      <w:r w:rsidR="00CF4276">
        <w:rPr>
          <w:rFonts w:ascii="Times New Roman" w:hAnsi="Times New Roman" w:cs="Times New Roman"/>
        </w:rPr>
        <w:t xml:space="preserve"> diferido</w:t>
      </w:r>
      <w:r>
        <w:rPr>
          <w:rFonts w:ascii="Times New Roman" w:hAnsi="Times New Roman" w:cs="Times New Roman"/>
        </w:rPr>
        <w:t xml:space="preserve"> é o tributo recuperável em períodos futuros, oriundo de diferença temporária dedutível, de compensação de prejuízo fiscal do IRPJ ou base negativa da CSLL ou de outros benefícios fiscais. Já passivo fiscal</w:t>
      </w:r>
      <w:r w:rsidR="00CF4276">
        <w:rPr>
          <w:rFonts w:ascii="Times New Roman" w:hAnsi="Times New Roman" w:cs="Times New Roman"/>
        </w:rPr>
        <w:t xml:space="preserve"> diferido</w:t>
      </w:r>
      <w:r>
        <w:rPr>
          <w:rFonts w:ascii="Times New Roman" w:hAnsi="Times New Roman" w:cs="Times New Roman"/>
        </w:rPr>
        <w:t xml:space="preserve"> é o tributo devido sobre o lucro de período futuro originado de uma diferença temporária tributável (</w:t>
      </w:r>
      <w:r w:rsidR="0026342C">
        <w:rPr>
          <w:rFonts w:ascii="Times New Roman" w:hAnsi="Times New Roman" w:cs="Times New Roman"/>
        </w:rPr>
        <w:t>CPC</w:t>
      </w:r>
      <w:r>
        <w:rPr>
          <w:rFonts w:ascii="Times New Roman" w:hAnsi="Times New Roman" w:cs="Times New Roman"/>
        </w:rPr>
        <w:t xml:space="preserve">, 2009).  </w:t>
      </w:r>
    </w:p>
    <w:p w14:paraId="4C0F07B1" w14:textId="3E77A79F" w:rsidR="00292ABE" w:rsidRDefault="00BD09C6" w:rsidP="001D0599">
      <w:pPr>
        <w:spacing w:after="120"/>
        <w:ind w:firstLine="709"/>
        <w:jc w:val="both"/>
        <w:rPr>
          <w:rFonts w:ascii="Times New Roman" w:hAnsi="Times New Roman" w:cs="Times New Roman"/>
        </w:rPr>
      </w:pPr>
      <w:r>
        <w:rPr>
          <w:rFonts w:ascii="Times New Roman" w:hAnsi="Times New Roman" w:cs="Times New Roman"/>
        </w:rPr>
        <w:t xml:space="preserve">Assim, nos tributos correntes deduzidos do LAIR não são computados os ativos fiscais diferidos realizados no período, relativos a diferenças temporárias dedutíveis verificadas em períodos anteriores, com exceção das compensações de prejuízos fiscais e bases negativas ou outros benefícios fiscais, como isenções ou reduções de base de cálculo. Também não são incluídos no montante dos tributos correntes os passivos fiscais diferidos liquidados no período, </w:t>
      </w:r>
      <w:r>
        <w:rPr>
          <w:rFonts w:ascii="Times New Roman" w:hAnsi="Times New Roman" w:cs="Times New Roman"/>
        </w:rPr>
        <w:lastRenderedPageBreak/>
        <w:t>concernentes a diferenças temporárias tributáveis escrituradas em períodos anteriores</w:t>
      </w:r>
      <w:r w:rsidR="00292ABE">
        <w:rPr>
          <w:rFonts w:ascii="Times New Roman" w:hAnsi="Times New Roman" w:cs="Times New Roman"/>
        </w:rPr>
        <w:t xml:space="preserve"> (</w:t>
      </w:r>
      <w:r w:rsidR="0026342C">
        <w:rPr>
          <w:rFonts w:ascii="Times New Roman" w:hAnsi="Times New Roman" w:cs="Times New Roman"/>
        </w:rPr>
        <w:t>CPC</w:t>
      </w:r>
      <w:r w:rsidR="00292ABE">
        <w:rPr>
          <w:rFonts w:ascii="Times New Roman" w:hAnsi="Times New Roman" w:cs="Times New Roman"/>
        </w:rPr>
        <w:t>, 2009)</w:t>
      </w:r>
      <w:r>
        <w:rPr>
          <w:rFonts w:ascii="Times New Roman" w:hAnsi="Times New Roman" w:cs="Times New Roman"/>
        </w:rPr>
        <w:t xml:space="preserve">. </w:t>
      </w:r>
    </w:p>
    <w:p w14:paraId="56F6CEBA" w14:textId="21BF6240" w:rsidR="00F74021" w:rsidRDefault="007A1E76" w:rsidP="001D0599">
      <w:pPr>
        <w:spacing w:after="120"/>
        <w:ind w:firstLine="709"/>
        <w:jc w:val="both"/>
        <w:rPr>
          <w:rFonts w:ascii="Times New Roman" w:hAnsi="Times New Roman" w:cs="Times New Roman"/>
        </w:rPr>
      </w:pPr>
      <w:r w:rsidRPr="00C56FA0">
        <w:rPr>
          <w:rFonts w:ascii="Times New Roman" w:hAnsi="Times New Roman" w:cs="Times New Roman"/>
        </w:rPr>
        <w:t xml:space="preserve">No sentido de minimizar os efeitos desses diferimentos fiscais, Guimarães, Macedo e Cruz (2016) propõem, para fins de análise dos tributos incidentes sobre o lucro no Brasil, o cálculo de uma alíquota </w:t>
      </w:r>
      <w:r w:rsidR="00BD09C6">
        <w:rPr>
          <w:rFonts w:ascii="Times New Roman" w:hAnsi="Times New Roman" w:cs="Times New Roman"/>
        </w:rPr>
        <w:t xml:space="preserve">tributária </w:t>
      </w:r>
      <w:r w:rsidRPr="00C56FA0">
        <w:rPr>
          <w:rFonts w:ascii="Times New Roman" w:hAnsi="Times New Roman" w:cs="Times New Roman"/>
        </w:rPr>
        <w:t>efetiva total (</w:t>
      </w:r>
      <w:proofErr w:type="spellStart"/>
      <w:r w:rsidRPr="00C56FA0">
        <w:rPr>
          <w:rFonts w:ascii="Times New Roman" w:hAnsi="Times New Roman" w:cs="Times New Roman"/>
        </w:rPr>
        <w:t>ETRt</w:t>
      </w:r>
      <w:proofErr w:type="spellEnd"/>
      <w:r w:rsidRPr="00C56FA0">
        <w:rPr>
          <w:rFonts w:ascii="Times New Roman" w:hAnsi="Times New Roman" w:cs="Times New Roman"/>
        </w:rPr>
        <w:t xml:space="preserve">), a partir da divisão </w:t>
      </w:r>
      <w:r w:rsidR="00561F2E">
        <w:rPr>
          <w:rFonts w:ascii="Times New Roman" w:hAnsi="Times New Roman" w:cs="Times New Roman"/>
        </w:rPr>
        <w:t>entre o</w:t>
      </w:r>
      <w:r w:rsidRPr="00C56FA0">
        <w:rPr>
          <w:rFonts w:ascii="Times New Roman" w:hAnsi="Times New Roman" w:cs="Times New Roman"/>
        </w:rPr>
        <w:t xml:space="preserve"> valor integral da despesa com </w:t>
      </w:r>
      <w:r w:rsidR="00CF4276">
        <w:rPr>
          <w:rFonts w:ascii="Times New Roman" w:hAnsi="Times New Roman" w:cs="Times New Roman"/>
        </w:rPr>
        <w:t xml:space="preserve">o </w:t>
      </w:r>
      <w:r>
        <w:rPr>
          <w:rFonts w:ascii="Times New Roman" w:hAnsi="Times New Roman" w:cs="Times New Roman"/>
        </w:rPr>
        <w:t>IRPJ e a CSLL</w:t>
      </w:r>
      <w:r w:rsidRPr="00C56FA0">
        <w:rPr>
          <w:rFonts w:ascii="Times New Roman" w:hAnsi="Times New Roman" w:cs="Times New Roman"/>
        </w:rPr>
        <w:t xml:space="preserve"> </w:t>
      </w:r>
      <w:r w:rsidR="00561F2E">
        <w:rPr>
          <w:rFonts w:ascii="Times New Roman" w:hAnsi="Times New Roman" w:cs="Times New Roman"/>
        </w:rPr>
        <w:t xml:space="preserve">pelo lucro </w:t>
      </w:r>
      <w:r w:rsidR="00BD09C6">
        <w:rPr>
          <w:rFonts w:ascii="Times New Roman" w:hAnsi="Times New Roman" w:cs="Times New Roman"/>
        </w:rPr>
        <w:t xml:space="preserve">apurado </w:t>
      </w:r>
      <w:r w:rsidR="00561F2E">
        <w:rPr>
          <w:rFonts w:ascii="Times New Roman" w:hAnsi="Times New Roman" w:cs="Times New Roman"/>
        </w:rPr>
        <w:t>antes</w:t>
      </w:r>
      <w:r w:rsidR="00BD09C6">
        <w:rPr>
          <w:rFonts w:ascii="Times New Roman" w:hAnsi="Times New Roman" w:cs="Times New Roman"/>
        </w:rPr>
        <w:t xml:space="preserve"> da constituição de provisão para pagamento desses</w:t>
      </w:r>
      <w:r w:rsidR="00561F2E">
        <w:rPr>
          <w:rFonts w:ascii="Times New Roman" w:hAnsi="Times New Roman" w:cs="Times New Roman"/>
        </w:rPr>
        <w:t xml:space="preserve"> tributos (</w:t>
      </w:r>
      <w:r>
        <w:rPr>
          <w:rFonts w:ascii="Times New Roman" w:hAnsi="Times New Roman" w:cs="Times New Roman"/>
        </w:rPr>
        <w:t>LAIR</w:t>
      </w:r>
      <w:r w:rsidR="00561F2E">
        <w:rPr>
          <w:rFonts w:ascii="Times New Roman" w:hAnsi="Times New Roman" w:cs="Times New Roman"/>
        </w:rPr>
        <w:t>)</w:t>
      </w:r>
      <w:r w:rsidRPr="00C56FA0">
        <w:rPr>
          <w:rFonts w:ascii="Times New Roman" w:hAnsi="Times New Roman" w:cs="Times New Roman"/>
        </w:rPr>
        <w:t xml:space="preserve">, e de uma alíquota </w:t>
      </w:r>
      <w:r w:rsidR="00BD09C6">
        <w:rPr>
          <w:rFonts w:ascii="Times New Roman" w:hAnsi="Times New Roman" w:cs="Times New Roman"/>
        </w:rPr>
        <w:t xml:space="preserve">tributária </w:t>
      </w:r>
      <w:r w:rsidRPr="00C56FA0">
        <w:rPr>
          <w:rFonts w:ascii="Times New Roman" w:hAnsi="Times New Roman" w:cs="Times New Roman"/>
        </w:rPr>
        <w:t>efetiva corrente (</w:t>
      </w:r>
      <w:proofErr w:type="spellStart"/>
      <w:r w:rsidRPr="00C56FA0">
        <w:rPr>
          <w:rFonts w:ascii="Times New Roman" w:hAnsi="Times New Roman" w:cs="Times New Roman"/>
        </w:rPr>
        <w:t>ETRc</w:t>
      </w:r>
      <w:proofErr w:type="spellEnd"/>
      <w:r w:rsidRPr="00C56FA0">
        <w:rPr>
          <w:rFonts w:ascii="Times New Roman" w:hAnsi="Times New Roman" w:cs="Times New Roman"/>
        </w:rPr>
        <w:t xml:space="preserve">), que utilizaria apenas </w:t>
      </w:r>
      <w:r w:rsidR="00561F2E">
        <w:rPr>
          <w:rFonts w:ascii="Times New Roman" w:hAnsi="Times New Roman" w:cs="Times New Roman"/>
        </w:rPr>
        <w:t>a despesa</w:t>
      </w:r>
      <w:r w:rsidRPr="00C56FA0">
        <w:rPr>
          <w:rFonts w:ascii="Times New Roman" w:hAnsi="Times New Roman" w:cs="Times New Roman"/>
        </w:rPr>
        <w:t xml:space="preserve"> corrente daqueles </w:t>
      </w:r>
      <w:r w:rsidR="00E91C2A">
        <w:rPr>
          <w:rFonts w:ascii="Times New Roman" w:hAnsi="Times New Roman" w:cs="Times New Roman"/>
        </w:rPr>
        <w:t xml:space="preserve">tributos </w:t>
      </w:r>
      <w:r w:rsidRPr="00C56FA0">
        <w:rPr>
          <w:rFonts w:ascii="Times New Roman" w:hAnsi="Times New Roman" w:cs="Times New Roman"/>
        </w:rPr>
        <w:t xml:space="preserve">na divisão pelo LAIR. </w:t>
      </w:r>
      <w:r w:rsidR="00620882">
        <w:rPr>
          <w:rFonts w:ascii="Times New Roman" w:hAnsi="Times New Roman" w:cs="Times New Roman"/>
        </w:rPr>
        <w:t xml:space="preserve">Santos, Cavalcante e Rodrigues (2013) defendem que a ETR deve ser calculada mediante o tributo corrente deduzido no resultado do período, porquanto expressa o valor que deverá ser pago sobre o lucro do período, em decorrência direta das adições e exclusões exigidas ou permitidas na legislação do IRPJ e </w:t>
      </w:r>
      <w:r w:rsidR="00E91C2A">
        <w:rPr>
          <w:rFonts w:ascii="Times New Roman" w:hAnsi="Times New Roman" w:cs="Times New Roman"/>
        </w:rPr>
        <w:t xml:space="preserve">da </w:t>
      </w:r>
      <w:r w:rsidR="00620882">
        <w:rPr>
          <w:rFonts w:ascii="Times New Roman" w:hAnsi="Times New Roman" w:cs="Times New Roman"/>
        </w:rPr>
        <w:t xml:space="preserve">CSLL. </w:t>
      </w:r>
    </w:p>
    <w:p w14:paraId="5F23210C" w14:textId="77777777" w:rsidR="0026342C" w:rsidRDefault="00F74021" w:rsidP="001D0599">
      <w:pPr>
        <w:spacing w:after="120"/>
        <w:ind w:firstLine="709"/>
        <w:jc w:val="both"/>
        <w:rPr>
          <w:rFonts w:ascii="Times New Roman" w:hAnsi="Times New Roman" w:cs="Times New Roman"/>
        </w:rPr>
      </w:pPr>
      <w:r>
        <w:rPr>
          <w:rFonts w:ascii="Times New Roman" w:hAnsi="Times New Roman" w:cs="Times New Roman"/>
        </w:rPr>
        <w:t xml:space="preserve">Também no sentido de minimizar os efeitos da transferência de ativos e passivos fiscais de um exercício para outro, </w:t>
      </w:r>
      <w:r w:rsidR="007A1E76" w:rsidRPr="00C56FA0">
        <w:rPr>
          <w:rFonts w:ascii="Times New Roman" w:hAnsi="Times New Roman" w:cs="Times New Roman"/>
        </w:rPr>
        <w:t xml:space="preserve">Moreira e Silva (2019), em estudo voltado para a governança tributária, </w:t>
      </w:r>
      <w:r>
        <w:rPr>
          <w:rFonts w:ascii="Times New Roman" w:hAnsi="Times New Roman" w:cs="Times New Roman"/>
        </w:rPr>
        <w:t xml:space="preserve">propõem uma </w:t>
      </w:r>
      <w:r w:rsidR="00EC035B">
        <w:rPr>
          <w:rFonts w:ascii="Times New Roman" w:hAnsi="Times New Roman" w:cs="Times New Roman"/>
        </w:rPr>
        <w:t>abordagem de longo prazo para cálculo</w:t>
      </w:r>
      <w:r>
        <w:rPr>
          <w:rFonts w:ascii="Times New Roman" w:hAnsi="Times New Roman" w:cs="Times New Roman"/>
        </w:rPr>
        <w:t xml:space="preserve"> da alíquota tributária efetiva</w:t>
      </w:r>
      <w:r w:rsidR="00EC035B">
        <w:rPr>
          <w:rFonts w:ascii="Times New Roman" w:hAnsi="Times New Roman" w:cs="Times New Roman"/>
        </w:rPr>
        <w:t>, a ser obtida a partir da medição da ETR corrente por um período não inferior a dez anos, ou seja, uma</w:t>
      </w:r>
      <w:r w:rsidR="007A1E76" w:rsidRPr="00C56FA0">
        <w:rPr>
          <w:rFonts w:ascii="Times New Roman" w:hAnsi="Times New Roman" w:cs="Times New Roman"/>
        </w:rPr>
        <w:t xml:space="preserve"> </w:t>
      </w:r>
      <w:proofErr w:type="spellStart"/>
      <w:r w:rsidR="007A1E76" w:rsidRPr="00C56FA0">
        <w:rPr>
          <w:rFonts w:ascii="Times New Roman" w:hAnsi="Times New Roman" w:cs="Times New Roman"/>
          <w:i/>
          <w:iCs/>
        </w:rPr>
        <w:t>long-run</w:t>
      </w:r>
      <w:proofErr w:type="spellEnd"/>
      <w:r w:rsidR="007A1E76" w:rsidRPr="00C56FA0">
        <w:rPr>
          <w:rFonts w:ascii="Times New Roman" w:hAnsi="Times New Roman" w:cs="Times New Roman"/>
          <w:i/>
          <w:iCs/>
        </w:rPr>
        <w:t xml:space="preserve"> cas</w:t>
      </w:r>
      <w:r w:rsidR="007A1E76">
        <w:rPr>
          <w:rFonts w:ascii="Times New Roman" w:hAnsi="Times New Roman" w:cs="Times New Roman"/>
          <w:i/>
          <w:iCs/>
        </w:rPr>
        <w:t>h</w:t>
      </w:r>
      <w:r w:rsidR="007A1E76" w:rsidRPr="00C56FA0">
        <w:rPr>
          <w:rFonts w:ascii="Times New Roman" w:hAnsi="Times New Roman" w:cs="Times New Roman"/>
          <w:i/>
          <w:iCs/>
        </w:rPr>
        <w:t xml:space="preserve"> </w:t>
      </w:r>
      <w:proofErr w:type="spellStart"/>
      <w:r w:rsidR="007A1E76" w:rsidRPr="00C56FA0">
        <w:rPr>
          <w:rFonts w:ascii="Times New Roman" w:hAnsi="Times New Roman" w:cs="Times New Roman"/>
          <w:i/>
          <w:iCs/>
        </w:rPr>
        <w:t>effective</w:t>
      </w:r>
      <w:proofErr w:type="spellEnd"/>
      <w:r w:rsidR="007A1E76" w:rsidRPr="00C56FA0">
        <w:rPr>
          <w:rFonts w:ascii="Times New Roman" w:hAnsi="Times New Roman" w:cs="Times New Roman"/>
          <w:i/>
          <w:iCs/>
        </w:rPr>
        <w:t xml:space="preserve"> </w:t>
      </w:r>
      <w:proofErr w:type="spellStart"/>
      <w:r w:rsidR="007A1E76" w:rsidRPr="00C56FA0">
        <w:rPr>
          <w:rFonts w:ascii="Times New Roman" w:hAnsi="Times New Roman" w:cs="Times New Roman"/>
          <w:i/>
          <w:iCs/>
        </w:rPr>
        <w:t>tax</w:t>
      </w:r>
      <w:proofErr w:type="spellEnd"/>
      <w:r w:rsidR="007A1E76" w:rsidRPr="00C56FA0">
        <w:rPr>
          <w:rFonts w:ascii="Times New Roman" w:hAnsi="Times New Roman" w:cs="Times New Roman"/>
          <w:i/>
          <w:iCs/>
        </w:rPr>
        <w:t xml:space="preserve"> rate</w:t>
      </w:r>
      <w:r w:rsidR="007A1E76" w:rsidRPr="00C56FA0">
        <w:rPr>
          <w:rFonts w:ascii="Times New Roman" w:hAnsi="Times New Roman" w:cs="Times New Roman"/>
        </w:rPr>
        <w:t xml:space="preserve"> (</w:t>
      </w:r>
      <w:proofErr w:type="spellStart"/>
      <w:r w:rsidR="007A1E76" w:rsidRPr="00C56FA0">
        <w:rPr>
          <w:rFonts w:ascii="Times New Roman" w:hAnsi="Times New Roman" w:cs="Times New Roman"/>
        </w:rPr>
        <w:t>CashETR</w:t>
      </w:r>
      <w:proofErr w:type="spellEnd"/>
      <w:r w:rsidR="007A1E76" w:rsidRPr="00C56FA0">
        <w:rPr>
          <w:rFonts w:ascii="Times New Roman" w:hAnsi="Times New Roman" w:cs="Times New Roman"/>
        </w:rPr>
        <w:t>)</w:t>
      </w:r>
      <w:r w:rsidR="00EC035B">
        <w:rPr>
          <w:rFonts w:ascii="Times New Roman" w:hAnsi="Times New Roman" w:cs="Times New Roman"/>
        </w:rPr>
        <w:t xml:space="preserve">. A mesma abordagem viria a ser utilizada por </w:t>
      </w:r>
      <w:r w:rsidR="007A1E76" w:rsidRPr="004D2082">
        <w:rPr>
          <w:rFonts w:ascii="Times New Roman" w:hAnsi="Times New Roman" w:cs="Times New Roman"/>
        </w:rPr>
        <w:t xml:space="preserve">Oliveira Jr., Moreira e Souza (2020) para analisar a alíquota efetiva de tributos </w:t>
      </w:r>
      <w:r w:rsidR="00E91C2A">
        <w:rPr>
          <w:rFonts w:ascii="Times New Roman" w:hAnsi="Times New Roman" w:cs="Times New Roman"/>
        </w:rPr>
        <w:t>em</w:t>
      </w:r>
      <w:r w:rsidR="007A1E76" w:rsidRPr="004D2082">
        <w:rPr>
          <w:rFonts w:ascii="Times New Roman" w:hAnsi="Times New Roman" w:cs="Times New Roman"/>
        </w:rPr>
        <w:t xml:space="preserve"> empresas de energia elétrica listadas na B3.</w:t>
      </w:r>
    </w:p>
    <w:p w14:paraId="4FAE8B17" w14:textId="5CE1EF9C" w:rsidR="00BD7200" w:rsidRDefault="00EC035B" w:rsidP="001D0599">
      <w:pPr>
        <w:spacing w:after="120"/>
        <w:ind w:firstLine="709"/>
        <w:jc w:val="both"/>
        <w:rPr>
          <w:rFonts w:ascii="Times New Roman" w:hAnsi="Times New Roman" w:cs="Times New Roman"/>
        </w:rPr>
      </w:pPr>
      <w:r>
        <w:rPr>
          <w:rFonts w:ascii="Times New Roman" w:hAnsi="Times New Roman" w:cs="Times New Roman"/>
        </w:rPr>
        <w:t xml:space="preserve">Sendo o objetivo da utilização da ETR a quantificação do nível de tributação incidente sobre o LAIR, não faz sentido mensurá-la em períodos nos quais </w:t>
      </w:r>
      <w:r w:rsidR="00850BD3">
        <w:rPr>
          <w:rFonts w:ascii="Times New Roman" w:hAnsi="Times New Roman" w:cs="Times New Roman"/>
        </w:rPr>
        <w:t>foi</w:t>
      </w:r>
      <w:r>
        <w:rPr>
          <w:rFonts w:ascii="Times New Roman" w:hAnsi="Times New Roman" w:cs="Times New Roman"/>
        </w:rPr>
        <w:t xml:space="preserve"> apur</w:t>
      </w:r>
      <w:r w:rsidR="00850BD3">
        <w:rPr>
          <w:rFonts w:ascii="Times New Roman" w:hAnsi="Times New Roman" w:cs="Times New Roman"/>
        </w:rPr>
        <w:t>ado</w:t>
      </w:r>
      <w:r>
        <w:rPr>
          <w:rFonts w:ascii="Times New Roman" w:hAnsi="Times New Roman" w:cs="Times New Roman"/>
        </w:rPr>
        <w:t xml:space="preserve"> prejuízo contábil ou resultado igual a 0 (zero). Assim, a</w:t>
      </w:r>
      <w:r w:rsidR="00E36C4A">
        <w:rPr>
          <w:rFonts w:ascii="Times New Roman" w:hAnsi="Times New Roman" w:cs="Times New Roman"/>
        </w:rPr>
        <w:t xml:space="preserve"> ETR </w:t>
      </w:r>
      <w:r w:rsidR="008406FA">
        <w:rPr>
          <w:rFonts w:ascii="Times New Roman" w:hAnsi="Times New Roman" w:cs="Times New Roman"/>
        </w:rPr>
        <w:t>não</w:t>
      </w:r>
      <w:r w:rsidR="00915F69">
        <w:rPr>
          <w:rFonts w:ascii="Times New Roman" w:hAnsi="Times New Roman" w:cs="Times New Roman"/>
        </w:rPr>
        <w:t xml:space="preserve"> </w:t>
      </w:r>
      <w:r w:rsidR="00850BD3">
        <w:rPr>
          <w:rFonts w:ascii="Times New Roman" w:hAnsi="Times New Roman" w:cs="Times New Roman"/>
        </w:rPr>
        <w:t>deve ser</w:t>
      </w:r>
      <w:r w:rsidR="00915F69">
        <w:rPr>
          <w:rFonts w:ascii="Times New Roman" w:hAnsi="Times New Roman" w:cs="Times New Roman"/>
        </w:rPr>
        <w:t xml:space="preserve"> calculada quando não há LAIR</w:t>
      </w:r>
      <w:r w:rsidR="00850BD3">
        <w:rPr>
          <w:rFonts w:ascii="Times New Roman" w:hAnsi="Times New Roman" w:cs="Times New Roman"/>
        </w:rPr>
        <w:t xml:space="preserve"> positivo</w:t>
      </w:r>
      <w:r w:rsidR="00915F69">
        <w:rPr>
          <w:rFonts w:ascii="Times New Roman" w:hAnsi="Times New Roman" w:cs="Times New Roman"/>
        </w:rPr>
        <w:t xml:space="preserve"> (</w:t>
      </w:r>
      <w:r w:rsidR="00915F69" w:rsidRPr="00124FB8">
        <w:rPr>
          <w:rFonts w:ascii="Times New Roman" w:hAnsi="Times New Roman" w:cs="Times New Roman"/>
        </w:rPr>
        <w:t>C</w:t>
      </w:r>
      <w:r w:rsidR="00915F69">
        <w:rPr>
          <w:rFonts w:ascii="Times New Roman" w:hAnsi="Times New Roman" w:cs="Times New Roman"/>
        </w:rPr>
        <w:t>ABELLO; PEREIRA, 2015; SANTOS; CAVALCANTE; RODRIGUES, 2013; POHLMANN; IUDÍCIBUS, 2010)</w:t>
      </w:r>
      <w:r w:rsidR="00D94974">
        <w:rPr>
          <w:rFonts w:ascii="Times New Roman" w:hAnsi="Times New Roman" w:cs="Times New Roman"/>
        </w:rPr>
        <w:t xml:space="preserve">. </w:t>
      </w:r>
    </w:p>
    <w:p w14:paraId="558949D2" w14:textId="415764D3" w:rsidR="009E3AEC" w:rsidRDefault="008406FA" w:rsidP="001D0599">
      <w:pPr>
        <w:spacing w:after="120"/>
        <w:ind w:firstLine="709"/>
        <w:jc w:val="both"/>
        <w:rPr>
          <w:rFonts w:ascii="Times New Roman" w:hAnsi="Times New Roman" w:cs="Times New Roman"/>
        </w:rPr>
      </w:pPr>
      <w:r>
        <w:rPr>
          <w:rFonts w:ascii="Times New Roman" w:hAnsi="Times New Roman" w:cs="Times New Roman"/>
        </w:rPr>
        <w:t xml:space="preserve">Ademais, </w:t>
      </w:r>
      <w:r w:rsidR="002A4EE1">
        <w:rPr>
          <w:rFonts w:ascii="Times New Roman" w:hAnsi="Times New Roman" w:cs="Times New Roman"/>
        </w:rPr>
        <w:t>os</w:t>
      </w:r>
      <w:r w:rsidR="00061CA9">
        <w:rPr>
          <w:rFonts w:ascii="Times New Roman" w:hAnsi="Times New Roman" w:cs="Times New Roman"/>
        </w:rPr>
        <w:t xml:space="preserve"> </w:t>
      </w:r>
      <w:r w:rsidR="00E90129">
        <w:rPr>
          <w:rFonts w:ascii="Times New Roman" w:hAnsi="Times New Roman" w:cs="Times New Roman"/>
        </w:rPr>
        <w:t>prejuízos fiscais do IRPJ e bases negativas da</w:t>
      </w:r>
      <w:r w:rsidR="002A4EE1">
        <w:rPr>
          <w:rFonts w:ascii="Times New Roman" w:hAnsi="Times New Roman" w:cs="Times New Roman"/>
        </w:rPr>
        <w:t xml:space="preserve"> CSLL</w:t>
      </w:r>
      <w:r w:rsidR="00061CA9">
        <w:rPr>
          <w:rFonts w:ascii="Times New Roman" w:hAnsi="Times New Roman" w:cs="Times New Roman"/>
        </w:rPr>
        <w:t xml:space="preserve"> </w:t>
      </w:r>
      <w:r w:rsidR="006177AD">
        <w:rPr>
          <w:rFonts w:ascii="Times New Roman" w:hAnsi="Times New Roman" w:cs="Times New Roman"/>
        </w:rPr>
        <w:t xml:space="preserve">verificados no período </w:t>
      </w:r>
      <w:r w:rsidR="00E36C4A">
        <w:rPr>
          <w:rFonts w:ascii="Times New Roman" w:hAnsi="Times New Roman" w:cs="Times New Roman"/>
        </w:rPr>
        <w:t xml:space="preserve">não </w:t>
      </w:r>
      <w:r w:rsidR="00233CA8">
        <w:rPr>
          <w:rFonts w:ascii="Times New Roman" w:hAnsi="Times New Roman" w:cs="Times New Roman"/>
        </w:rPr>
        <w:t>devem ser</w:t>
      </w:r>
      <w:r w:rsidR="00E36C4A">
        <w:rPr>
          <w:rFonts w:ascii="Times New Roman" w:hAnsi="Times New Roman" w:cs="Times New Roman"/>
        </w:rPr>
        <w:t xml:space="preserve"> </w:t>
      </w:r>
      <w:r w:rsidR="006177AD">
        <w:rPr>
          <w:rFonts w:ascii="Times New Roman" w:hAnsi="Times New Roman" w:cs="Times New Roman"/>
        </w:rPr>
        <w:t>incluídos</w:t>
      </w:r>
      <w:r w:rsidR="00E36C4A">
        <w:rPr>
          <w:rFonts w:ascii="Times New Roman" w:hAnsi="Times New Roman" w:cs="Times New Roman"/>
        </w:rPr>
        <w:t xml:space="preserve"> </w:t>
      </w:r>
      <w:r w:rsidR="009E3AEC" w:rsidRPr="00124FB8">
        <w:rPr>
          <w:rFonts w:ascii="Times New Roman" w:hAnsi="Times New Roman" w:cs="Times New Roman"/>
        </w:rPr>
        <w:t xml:space="preserve">no </w:t>
      </w:r>
      <w:r w:rsidR="00190BE2">
        <w:rPr>
          <w:rFonts w:ascii="Times New Roman" w:hAnsi="Times New Roman" w:cs="Times New Roman"/>
        </w:rPr>
        <w:t xml:space="preserve">numerador </w:t>
      </w:r>
      <w:r w:rsidR="009E3AEC" w:rsidRPr="00124FB8">
        <w:rPr>
          <w:rFonts w:ascii="Times New Roman" w:hAnsi="Times New Roman" w:cs="Times New Roman"/>
        </w:rPr>
        <w:t>das ETR</w:t>
      </w:r>
      <w:r w:rsidR="00E90129">
        <w:rPr>
          <w:rFonts w:ascii="Times New Roman" w:hAnsi="Times New Roman" w:cs="Times New Roman"/>
        </w:rPr>
        <w:t xml:space="preserve"> (CABELLO; PEREIRA, 2015</w:t>
      </w:r>
      <w:r w:rsidR="00190BE2">
        <w:rPr>
          <w:rFonts w:ascii="Times New Roman" w:hAnsi="Times New Roman" w:cs="Times New Roman"/>
        </w:rPr>
        <w:t>;</w:t>
      </w:r>
      <w:r w:rsidR="00190BE2" w:rsidRPr="00190BE2">
        <w:rPr>
          <w:rFonts w:ascii="Times New Roman" w:hAnsi="Times New Roman" w:cs="Times New Roman"/>
        </w:rPr>
        <w:t xml:space="preserve"> </w:t>
      </w:r>
      <w:r w:rsidR="00190BE2">
        <w:rPr>
          <w:rFonts w:ascii="Times New Roman" w:hAnsi="Times New Roman" w:cs="Times New Roman"/>
        </w:rPr>
        <w:t>POHLMANN; IUDÍCIBUS, 2010</w:t>
      </w:r>
      <w:r w:rsidR="00E90129">
        <w:rPr>
          <w:rFonts w:ascii="Times New Roman" w:hAnsi="Times New Roman" w:cs="Times New Roman"/>
        </w:rPr>
        <w:t>)</w:t>
      </w:r>
      <w:r w:rsidR="009E3AEC" w:rsidRPr="00124FB8">
        <w:rPr>
          <w:rFonts w:ascii="Times New Roman" w:hAnsi="Times New Roman" w:cs="Times New Roman"/>
        </w:rPr>
        <w:t xml:space="preserve">. A justificativa é que </w:t>
      </w:r>
      <w:r w:rsidR="006C3E8C">
        <w:rPr>
          <w:rFonts w:ascii="Times New Roman" w:hAnsi="Times New Roman" w:cs="Times New Roman"/>
        </w:rPr>
        <w:t xml:space="preserve">os </w:t>
      </w:r>
      <w:r w:rsidR="006C3E8C" w:rsidRPr="00124FB8">
        <w:rPr>
          <w:rFonts w:ascii="Times New Roman" w:hAnsi="Times New Roman" w:cs="Times New Roman"/>
        </w:rPr>
        <w:t xml:space="preserve">prejuízos fiscais e as bases negativas </w:t>
      </w:r>
      <w:r w:rsidR="006C3E8C">
        <w:rPr>
          <w:rFonts w:ascii="Times New Roman" w:hAnsi="Times New Roman" w:cs="Times New Roman"/>
        </w:rPr>
        <w:t xml:space="preserve">são </w:t>
      </w:r>
      <w:r w:rsidR="00AA07ED">
        <w:rPr>
          <w:rFonts w:ascii="Times New Roman" w:hAnsi="Times New Roman" w:cs="Times New Roman"/>
        </w:rPr>
        <w:t xml:space="preserve">ativos diferidos </w:t>
      </w:r>
      <w:r w:rsidR="00233CA8">
        <w:rPr>
          <w:rFonts w:ascii="Times New Roman" w:hAnsi="Times New Roman" w:cs="Times New Roman"/>
        </w:rPr>
        <w:t xml:space="preserve">realizáveis </w:t>
      </w:r>
      <w:r w:rsidR="006C3E8C">
        <w:rPr>
          <w:rFonts w:ascii="Times New Roman" w:hAnsi="Times New Roman" w:cs="Times New Roman"/>
        </w:rPr>
        <w:t xml:space="preserve">apenas por </w:t>
      </w:r>
      <w:r w:rsidR="00D8333B">
        <w:rPr>
          <w:rFonts w:ascii="Times New Roman" w:hAnsi="Times New Roman" w:cs="Times New Roman"/>
        </w:rPr>
        <w:t>intermédio d</w:t>
      </w:r>
      <w:r w:rsidR="00E7581A">
        <w:rPr>
          <w:rFonts w:ascii="Times New Roman" w:hAnsi="Times New Roman" w:cs="Times New Roman"/>
        </w:rPr>
        <w:t>e</w:t>
      </w:r>
      <w:r w:rsidR="00D8333B">
        <w:rPr>
          <w:rFonts w:ascii="Times New Roman" w:hAnsi="Times New Roman" w:cs="Times New Roman"/>
        </w:rPr>
        <w:t xml:space="preserve"> </w:t>
      </w:r>
      <w:r w:rsidR="00233CA8">
        <w:rPr>
          <w:rFonts w:ascii="Times New Roman" w:hAnsi="Times New Roman" w:cs="Times New Roman"/>
        </w:rPr>
        <w:t xml:space="preserve">compensação </w:t>
      </w:r>
      <w:r w:rsidR="002A4EE1">
        <w:rPr>
          <w:rFonts w:ascii="Times New Roman" w:hAnsi="Times New Roman" w:cs="Times New Roman"/>
        </w:rPr>
        <w:t xml:space="preserve">com </w:t>
      </w:r>
      <w:r w:rsidR="006177AD">
        <w:rPr>
          <w:rFonts w:ascii="Times New Roman" w:hAnsi="Times New Roman" w:cs="Times New Roman"/>
        </w:rPr>
        <w:t xml:space="preserve">as </w:t>
      </w:r>
      <w:r>
        <w:rPr>
          <w:rFonts w:ascii="Times New Roman" w:hAnsi="Times New Roman" w:cs="Times New Roman"/>
        </w:rPr>
        <w:t>bases de cálculo</w:t>
      </w:r>
      <w:r w:rsidR="006C3E8C">
        <w:rPr>
          <w:rFonts w:ascii="Times New Roman" w:hAnsi="Times New Roman" w:cs="Times New Roman"/>
        </w:rPr>
        <w:t xml:space="preserve"> </w:t>
      </w:r>
      <w:r w:rsidR="00190BE2">
        <w:rPr>
          <w:rFonts w:ascii="Times New Roman" w:hAnsi="Times New Roman" w:cs="Times New Roman"/>
        </w:rPr>
        <w:t xml:space="preserve">apuradas em </w:t>
      </w:r>
      <w:r w:rsidR="006C3E8C">
        <w:rPr>
          <w:rFonts w:ascii="Times New Roman" w:hAnsi="Times New Roman" w:cs="Times New Roman"/>
        </w:rPr>
        <w:t xml:space="preserve">períodos </w:t>
      </w:r>
      <w:r w:rsidR="00D94974">
        <w:rPr>
          <w:rFonts w:ascii="Times New Roman" w:hAnsi="Times New Roman" w:cs="Times New Roman"/>
        </w:rPr>
        <w:t>futuros</w:t>
      </w:r>
      <w:r w:rsidR="00233CA8">
        <w:rPr>
          <w:rFonts w:ascii="Times New Roman" w:hAnsi="Times New Roman" w:cs="Times New Roman"/>
        </w:rPr>
        <w:t xml:space="preserve">. </w:t>
      </w:r>
      <w:r w:rsidR="00901926">
        <w:rPr>
          <w:rFonts w:ascii="Times New Roman" w:hAnsi="Times New Roman" w:cs="Times New Roman"/>
        </w:rPr>
        <w:t>O</w:t>
      </w:r>
      <w:r w:rsidR="00233CA8" w:rsidRPr="00124FB8">
        <w:rPr>
          <w:rFonts w:ascii="Times New Roman" w:hAnsi="Times New Roman" w:cs="Times New Roman"/>
        </w:rPr>
        <w:t xml:space="preserve"> cômputo de provisões </w:t>
      </w:r>
      <w:r w:rsidR="00901926">
        <w:rPr>
          <w:rFonts w:ascii="Times New Roman" w:hAnsi="Times New Roman" w:cs="Times New Roman"/>
        </w:rPr>
        <w:t>positivas</w:t>
      </w:r>
      <w:r w:rsidR="00233CA8" w:rsidRPr="00124FB8">
        <w:rPr>
          <w:rFonts w:ascii="Times New Roman" w:hAnsi="Times New Roman" w:cs="Times New Roman"/>
        </w:rPr>
        <w:t xml:space="preserve"> no numerador da fórmula das ETR </w:t>
      </w:r>
      <w:r w:rsidR="00061CA9">
        <w:rPr>
          <w:rFonts w:ascii="Times New Roman" w:hAnsi="Times New Roman" w:cs="Times New Roman"/>
        </w:rPr>
        <w:t xml:space="preserve">pode </w:t>
      </w:r>
      <w:r w:rsidR="00305A76">
        <w:rPr>
          <w:rFonts w:ascii="Times New Roman" w:hAnsi="Times New Roman" w:cs="Times New Roman"/>
        </w:rPr>
        <w:t xml:space="preserve">gerar </w:t>
      </w:r>
      <w:r w:rsidR="00B5383F">
        <w:rPr>
          <w:rFonts w:ascii="Times New Roman" w:hAnsi="Times New Roman" w:cs="Times New Roman"/>
        </w:rPr>
        <w:t xml:space="preserve">inconsistências </w:t>
      </w:r>
      <w:r w:rsidR="00305A76">
        <w:rPr>
          <w:rFonts w:ascii="Times New Roman" w:hAnsi="Times New Roman" w:cs="Times New Roman"/>
        </w:rPr>
        <w:t>na aferição da carga tributária</w:t>
      </w:r>
      <w:r w:rsidR="00B5383F">
        <w:rPr>
          <w:rFonts w:ascii="Times New Roman" w:hAnsi="Times New Roman" w:cs="Times New Roman"/>
        </w:rPr>
        <w:t xml:space="preserve"> em</w:t>
      </w:r>
      <w:r w:rsidR="00BD7200">
        <w:rPr>
          <w:rFonts w:ascii="Times New Roman" w:hAnsi="Times New Roman" w:cs="Times New Roman"/>
        </w:rPr>
        <w:t xml:space="preserve"> </w:t>
      </w:r>
      <w:r w:rsidR="00D94974">
        <w:rPr>
          <w:rFonts w:ascii="Times New Roman" w:hAnsi="Times New Roman" w:cs="Times New Roman"/>
        </w:rPr>
        <w:t>interstícios</w:t>
      </w:r>
      <w:r w:rsidR="00B5383F">
        <w:rPr>
          <w:rFonts w:ascii="Times New Roman" w:hAnsi="Times New Roman" w:cs="Times New Roman"/>
        </w:rPr>
        <w:t xml:space="preserve"> maiores que um ano</w:t>
      </w:r>
      <w:r w:rsidR="00901926">
        <w:rPr>
          <w:rFonts w:ascii="Times New Roman" w:hAnsi="Times New Roman" w:cs="Times New Roman"/>
        </w:rPr>
        <w:t xml:space="preserve">, </w:t>
      </w:r>
      <w:r w:rsidR="00B5383F">
        <w:rPr>
          <w:rFonts w:ascii="Times New Roman" w:hAnsi="Times New Roman" w:cs="Times New Roman"/>
        </w:rPr>
        <w:t>posto</w:t>
      </w:r>
      <w:r w:rsidR="00901926">
        <w:rPr>
          <w:rFonts w:ascii="Times New Roman" w:hAnsi="Times New Roman" w:cs="Times New Roman"/>
        </w:rPr>
        <w:t xml:space="preserve"> que </w:t>
      </w:r>
      <w:r w:rsidR="00B5383F">
        <w:rPr>
          <w:rFonts w:ascii="Times New Roman" w:hAnsi="Times New Roman" w:cs="Times New Roman"/>
        </w:rPr>
        <w:t>os</w:t>
      </w:r>
      <w:r w:rsidR="00901926">
        <w:rPr>
          <w:rFonts w:ascii="Times New Roman" w:hAnsi="Times New Roman" w:cs="Times New Roman"/>
        </w:rPr>
        <w:t xml:space="preserve"> créditos fiscais </w:t>
      </w:r>
      <w:r w:rsidR="00B5383F">
        <w:rPr>
          <w:rFonts w:ascii="Times New Roman" w:hAnsi="Times New Roman" w:cs="Times New Roman"/>
        </w:rPr>
        <w:t>levantados em cada período de apuração pode</w:t>
      </w:r>
      <w:r w:rsidR="006177AD">
        <w:rPr>
          <w:rFonts w:ascii="Times New Roman" w:hAnsi="Times New Roman" w:cs="Times New Roman"/>
        </w:rPr>
        <w:t>m</w:t>
      </w:r>
      <w:r w:rsidR="00B5383F">
        <w:rPr>
          <w:rFonts w:ascii="Times New Roman" w:hAnsi="Times New Roman" w:cs="Times New Roman"/>
        </w:rPr>
        <w:t xml:space="preserve"> ser</w:t>
      </w:r>
      <w:r w:rsidR="00901926">
        <w:rPr>
          <w:rFonts w:ascii="Times New Roman" w:hAnsi="Times New Roman" w:cs="Times New Roman"/>
        </w:rPr>
        <w:t xml:space="preserve"> utilizados na redução </w:t>
      </w:r>
      <w:r w:rsidR="00BD7200">
        <w:rPr>
          <w:rFonts w:ascii="Times New Roman" w:hAnsi="Times New Roman" w:cs="Times New Roman"/>
        </w:rPr>
        <w:t>do</w:t>
      </w:r>
      <w:r w:rsidR="000D414F">
        <w:rPr>
          <w:rFonts w:ascii="Times New Roman" w:hAnsi="Times New Roman" w:cs="Times New Roman"/>
        </w:rPr>
        <w:t xml:space="preserve"> IRPJ e </w:t>
      </w:r>
      <w:r w:rsidR="00901926">
        <w:rPr>
          <w:rFonts w:ascii="Times New Roman" w:hAnsi="Times New Roman" w:cs="Times New Roman"/>
        </w:rPr>
        <w:t>d</w:t>
      </w:r>
      <w:r w:rsidR="000D414F">
        <w:rPr>
          <w:rFonts w:ascii="Times New Roman" w:hAnsi="Times New Roman" w:cs="Times New Roman"/>
        </w:rPr>
        <w:t>a CSLL</w:t>
      </w:r>
      <w:r w:rsidR="00BD7200">
        <w:rPr>
          <w:rFonts w:ascii="Times New Roman" w:hAnsi="Times New Roman" w:cs="Times New Roman"/>
        </w:rPr>
        <w:t xml:space="preserve"> </w:t>
      </w:r>
      <w:r w:rsidR="00B5383F">
        <w:rPr>
          <w:rFonts w:ascii="Times New Roman" w:hAnsi="Times New Roman" w:cs="Times New Roman"/>
        </w:rPr>
        <w:t>recolhidos</w:t>
      </w:r>
      <w:r w:rsidR="00BD7200">
        <w:rPr>
          <w:rFonts w:ascii="Times New Roman" w:hAnsi="Times New Roman" w:cs="Times New Roman"/>
        </w:rPr>
        <w:t xml:space="preserve"> </w:t>
      </w:r>
      <w:r w:rsidR="00B5383F">
        <w:rPr>
          <w:rFonts w:ascii="Times New Roman" w:hAnsi="Times New Roman" w:cs="Times New Roman"/>
        </w:rPr>
        <w:t>a partir do período seguinte</w:t>
      </w:r>
      <w:r w:rsidR="00A81A11">
        <w:rPr>
          <w:rFonts w:ascii="Times New Roman" w:hAnsi="Times New Roman" w:cs="Times New Roman"/>
        </w:rPr>
        <w:t>. Para fins da</w:t>
      </w:r>
      <w:r w:rsidR="00061CA9">
        <w:rPr>
          <w:rFonts w:ascii="Times New Roman" w:hAnsi="Times New Roman" w:cs="Times New Roman"/>
        </w:rPr>
        <w:t xml:space="preserve"> quantificação</w:t>
      </w:r>
      <w:r w:rsidR="00A81A11">
        <w:rPr>
          <w:rFonts w:ascii="Times New Roman" w:hAnsi="Times New Roman" w:cs="Times New Roman"/>
        </w:rPr>
        <w:t xml:space="preserve"> da carga tributária, é mais adequado reconhecer </w:t>
      </w:r>
      <w:r w:rsidR="00E7581A">
        <w:rPr>
          <w:rFonts w:ascii="Times New Roman" w:hAnsi="Times New Roman" w:cs="Times New Roman"/>
        </w:rPr>
        <w:t>o</w:t>
      </w:r>
      <w:r w:rsidR="00A81A11">
        <w:rPr>
          <w:rFonts w:ascii="Times New Roman" w:hAnsi="Times New Roman" w:cs="Times New Roman"/>
        </w:rPr>
        <w:t xml:space="preserve">s </w:t>
      </w:r>
      <w:r w:rsidR="00233CA8" w:rsidRPr="00124FB8">
        <w:rPr>
          <w:rFonts w:ascii="Times New Roman" w:hAnsi="Times New Roman" w:cs="Times New Roman"/>
        </w:rPr>
        <w:t>benefício</w:t>
      </w:r>
      <w:r w:rsidR="00A81A11">
        <w:rPr>
          <w:rFonts w:ascii="Times New Roman" w:hAnsi="Times New Roman" w:cs="Times New Roman"/>
        </w:rPr>
        <w:t xml:space="preserve">s econômicos </w:t>
      </w:r>
      <w:r w:rsidR="00E7581A">
        <w:rPr>
          <w:rFonts w:ascii="Times New Roman" w:hAnsi="Times New Roman" w:cs="Times New Roman"/>
        </w:rPr>
        <w:t xml:space="preserve">desses créditos fiscais apenas </w:t>
      </w:r>
      <w:r w:rsidR="007923ED">
        <w:rPr>
          <w:rFonts w:ascii="Times New Roman" w:hAnsi="Times New Roman" w:cs="Times New Roman"/>
        </w:rPr>
        <w:t xml:space="preserve">no momento </w:t>
      </w:r>
      <w:r w:rsidR="00D94974">
        <w:rPr>
          <w:rFonts w:ascii="Times New Roman" w:hAnsi="Times New Roman" w:cs="Times New Roman"/>
        </w:rPr>
        <w:t xml:space="preserve">de </w:t>
      </w:r>
      <w:r w:rsidR="00061CA9">
        <w:rPr>
          <w:rFonts w:ascii="Times New Roman" w:hAnsi="Times New Roman" w:cs="Times New Roman"/>
        </w:rPr>
        <w:t>sua efetiva</w:t>
      </w:r>
      <w:r w:rsidR="00D94974">
        <w:rPr>
          <w:rFonts w:ascii="Times New Roman" w:hAnsi="Times New Roman" w:cs="Times New Roman"/>
        </w:rPr>
        <w:t xml:space="preserve"> compensação</w:t>
      </w:r>
      <w:r w:rsidR="00E7581A">
        <w:rPr>
          <w:rFonts w:ascii="Times New Roman" w:hAnsi="Times New Roman" w:cs="Times New Roman"/>
        </w:rPr>
        <w:t xml:space="preserve">, </w:t>
      </w:r>
      <w:r w:rsidR="00061CA9">
        <w:rPr>
          <w:rFonts w:ascii="Times New Roman" w:hAnsi="Times New Roman" w:cs="Times New Roman"/>
        </w:rPr>
        <w:t xml:space="preserve">o </w:t>
      </w:r>
      <w:r>
        <w:rPr>
          <w:rFonts w:ascii="Times New Roman" w:hAnsi="Times New Roman" w:cs="Times New Roman"/>
        </w:rPr>
        <w:t xml:space="preserve">que </w:t>
      </w:r>
      <w:r w:rsidR="00D94974">
        <w:rPr>
          <w:rFonts w:ascii="Times New Roman" w:hAnsi="Times New Roman" w:cs="Times New Roman"/>
        </w:rPr>
        <w:t>implica a</w:t>
      </w:r>
      <w:r w:rsidR="00A81A11">
        <w:rPr>
          <w:rFonts w:ascii="Times New Roman" w:hAnsi="Times New Roman" w:cs="Times New Roman"/>
        </w:rPr>
        <w:t xml:space="preserve"> redução d</w:t>
      </w:r>
      <w:r w:rsidR="00E7581A">
        <w:rPr>
          <w:rFonts w:ascii="Times New Roman" w:hAnsi="Times New Roman" w:cs="Times New Roman"/>
        </w:rPr>
        <w:t>as</w:t>
      </w:r>
      <w:r w:rsidR="00B5383F">
        <w:rPr>
          <w:rFonts w:ascii="Times New Roman" w:hAnsi="Times New Roman" w:cs="Times New Roman"/>
        </w:rPr>
        <w:t xml:space="preserve"> </w:t>
      </w:r>
      <w:r w:rsidR="006177AD">
        <w:rPr>
          <w:rFonts w:ascii="Times New Roman" w:hAnsi="Times New Roman" w:cs="Times New Roman"/>
        </w:rPr>
        <w:t>despesas</w:t>
      </w:r>
      <w:r w:rsidR="00233CA8" w:rsidRPr="00124FB8">
        <w:rPr>
          <w:rFonts w:ascii="Times New Roman" w:hAnsi="Times New Roman" w:cs="Times New Roman"/>
        </w:rPr>
        <w:t xml:space="preserve"> </w:t>
      </w:r>
      <w:r w:rsidR="006C3E8C">
        <w:rPr>
          <w:rFonts w:ascii="Times New Roman" w:hAnsi="Times New Roman" w:cs="Times New Roman"/>
        </w:rPr>
        <w:t>correntes e/ou diferidas</w:t>
      </w:r>
      <w:r w:rsidR="00B5383F">
        <w:rPr>
          <w:rFonts w:ascii="Times New Roman" w:hAnsi="Times New Roman" w:cs="Times New Roman"/>
        </w:rPr>
        <w:t xml:space="preserve"> de períodos futuros</w:t>
      </w:r>
      <w:r w:rsidR="00871DB5">
        <w:rPr>
          <w:rFonts w:ascii="Times New Roman" w:hAnsi="Times New Roman" w:cs="Times New Roman"/>
        </w:rPr>
        <w:t>.</w:t>
      </w:r>
      <w:r w:rsidR="00233CA8">
        <w:rPr>
          <w:rFonts w:ascii="Times New Roman" w:hAnsi="Times New Roman" w:cs="Times New Roman"/>
        </w:rPr>
        <w:t xml:space="preserve"> </w:t>
      </w:r>
      <w:r w:rsidR="00BE4E13">
        <w:rPr>
          <w:rFonts w:ascii="Times New Roman" w:hAnsi="Times New Roman" w:cs="Times New Roman"/>
        </w:rPr>
        <w:t xml:space="preserve">É importante salientar </w:t>
      </w:r>
      <w:r w:rsidR="00BD7200">
        <w:rPr>
          <w:rFonts w:ascii="Times New Roman" w:hAnsi="Times New Roman" w:cs="Times New Roman"/>
        </w:rPr>
        <w:t xml:space="preserve">que </w:t>
      </w:r>
      <w:r w:rsidR="00A81A11">
        <w:rPr>
          <w:rFonts w:ascii="Times New Roman" w:hAnsi="Times New Roman" w:cs="Times New Roman"/>
        </w:rPr>
        <w:t xml:space="preserve">os prejuízos fiscais do IRPJ e as bases negativas da CSLL </w:t>
      </w:r>
      <w:r w:rsidR="006C3E8C">
        <w:rPr>
          <w:rFonts w:ascii="Times New Roman" w:hAnsi="Times New Roman" w:cs="Times New Roman"/>
        </w:rPr>
        <w:t xml:space="preserve">são compensáveis </w:t>
      </w:r>
      <w:r w:rsidR="00AA07ED">
        <w:rPr>
          <w:rFonts w:ascii="Times New Roman" w:hAnsi="Times New Roman" w:cs="Times New Roman"/>
        </w:rPr>
        <w:t xml:space="preserve">até o limite de </w:t>
      </w:r>
      <w:r w:rsidR="009E3AEC" w:rsidRPr="00124FB8">
        <w:rPr>
          <w:rFonts w:ascii="Times New Roman" w:hAnsi="Times New Roman" w:cs="Times New Roman"/>
        </w:rPr>
        <w:t>30% d</w:t>
      </w:r>
      <w:r w:rsidR="006177AD">
        <w:rPr>
          <w:rFonts w:ascii="Times New Roman" w:hAnsi="Times New Roman" w:cs="Times New Roman"/>
        </w:rPr>
        <w:t>o LAIR</w:t>
      </w:r>
      <w:r w:rsidR="009E3AEC" w:rsidRPr="00124FB8">
        <w:rPr>
          <w:rFonts w:ascii="Times New Roman" w:hAnsi="Times New Roman" w:cs="Times New Roman"/>
        </w:rPr>
        <w:t xml:space="preserve"> ajustad</w:t>
      </w:r>
      <w:r w:rsidR="006177AD">
        <w:rPr>
          <w:rFonts w:ascii="Times New Roman" w:hAnsi="Times New Roman" w:cs="Times New Roman"/>
        </w:rPr>
        <w:t>o</w:t>
      </w:r>
      <w:r w:rsidR="009E3AEC" w:rsidRPr="00124FB8">
        <w:rPr>
          <w:rFonts w:ascii="Times New Roman" w:hAnsi="Times New Roman" w:cs="Times New Roman"/>
        </w:rPr>
        <w:t xml:space="preserve"> pelas adições e exclusões</w:t>
      </w:r>
      <w:r w:rsidR="006177AD">
        <w:rPr>
          <w:rFonts w:ascii="Times New Roman" w:hAnsi="Times New Roman" w:cs="Times New Roman"/>
        </w:rPr>
        <w:t xml:space="preserve"> do período</w:t>
      </w:r>
      <w:r w:rsidR="00AA07ED">
        <w:rPr>
          <w:rFonts w:ascii="Times New Roman" w:hAnsi="Times New Roman" w:cs="Times New Roman"/>
        </w:rPr>
        <w:t>,</w:t>
      </w:r>
      <w:r w:rsidR="009E3AEC" w:rsidRPr="00124FB8">
        <w:rPr>
          <w:rFonts w:ascii="Times New Roman" w:hAnsi="Times New Roman" w:cs="Times New Roman"/>
        </w:rPr>
        <w:t xml:space="preserve"> de acordo com os artigos 15 e 16 da Lei nº 9.065</w:t>
      </w:r>
      <w:r w:rsidR="00EC035B">
        <w:rPr>
          <w:rFonts w:ascii="Times New Roman" w:hAnsi="Times New Roman" w:cs="Times New Roman"/>
        </w:rPr>
        <w:t>/</w:t>
      </w:r>
      <w:r w:rsidR="009E3AEC" w:rsidRPr="00124FB8">
        <w:rPr>
          <w:rFonts w:ascii="Times New Roman" w:hAnsi="Times New Roman" w:cs="Times New Roman"/>
        </w:rPr>
        <w:t xml:space="preserve">1995. </w:t>
      </w:r>
    </w:p>
    <w:p w14:paraId="50C3CF7D" w14:textId="77777777" w:rsidR="00D8273B" w:rsidRDefault="00D8273B" w:rsidP="00746F27">
      <w:pPr>
        <w:spacing w:after="120"/>
        <w:jc w:val="both"/>
        <w:rPr>
          <w:rFonts w:ascii="Times New Roman" w:hAnsi="Times New Roman" w:cs="Times New Roman"/>
        </w:rPr>
      </w:pPr>
    </w:p>
    <w:p w14:paraId="1A1F5051" w14:textId="6F72C14C" w:rsidR="00F948DF" w:rsidRDefault="00F948DF" w:rsidP="00746F27">
      <w:pPr>
        <w:spacing w:after="120"/>
        <w:jc w:val="both"/>
        <w:rPr>
          <w:rFonts w:ascii="Times New Roman" w:hAnsi="Times New Roman" w:cs="Times New Roman"/>
          <w:b/>
          <w:bCs/>
        </w:rPr>
      </w:pPr>
      <w:r>
        <w:rPr>
          <w:rFonts w:ascii="Times New Roman" w:hAnsi="Times New Roman" w:cs="Times New Roman"/>
          <w:b/>
          <w:bCs/>
        </w:rPr>
        <w:t xml:space="preserve">2.3 </w:t>
      </w:r>
      <w:r w:rsidR="00317960">
        <w:rPr>
          <w:rFonts w:ascii="Times New Roman" w:hAnsi="Times New Roman" w:cs="Times New Roman"/>
          <w:b/>
          <w:bCs/>
        </w:rPr>
        <w:t>Os efeitos</w:t>
      </w:r>
      <w:r w:rsidR="00BF2B0B">
        <w:rPr>
          <w:rFonts w:ascii="Times New Roman" w:hAnsi="Times New Roman" w:cs="Times New Roman"/>
          <w:b/>
          <w:bCs/>
        </w:rPr>
        <w:t xml:space="preserve"> </w:t>
      </w:r>
      <w:r w:rsidR="0024288C">
        <w:rPr>
          <w:rFonts w:ascii="Times New Roman" w:hAnsi="Times New Roman" w:cs="Times New Roman"/>
          <w:b/>
          <w:bCs/>
        </w:rPr>
        <w:t xml:space="preserve">esperados </w:t>
      </w:r>
      <w:r w:rsidR="00BF2B0B">
        <w:rPr>
          <w:rFonts w:ascii="Times New Roman" w:hAnsi="Times New Roman" w:cs="Times New Roman"/>
          <w:b/>
          <w:bCs/>
        </w:rPr>
        <w:t>da Lei nº 12.973</w:t>
      </w:r>
      <w:r w:rsidR="009B6610">
        <w:rPr>
          <w:rFonts w:ascii="Times New Roman" w:hAnsi="Times New Roman" w:cs="Times New Roman"/>
          <w:b/>
          <w:bCs/>
        </w:rPr>
        <w:t>/</w:t>
      </w:r>
      <w:r w:rsidR="00BF2B0B">
        <w:rPr>
          <w:rFonts w:ascii="Times New Roman" w:hAnsi="Times New Roman" w:cs="Times New Roman"/>
          <w:b/>
          <w:bCs/>
        </w:rPr>
        <w:t>2014 sobre as ETR</w:t>
      </w:r>
    </w:p>
    <w:p w14:paraId="1B4881BA" w14:textId="13D06960" w:rsidR="00B91715" w:rsidRDefault="0059695D" w:rsidP="001D0599">
      <w:pPr>
        <w:spacing w:after="120"/>
        <w:ind w:firstLine="709"/>
        <w:jc w:val="both"/>
        <w:rPr>
          <w:rFonts w:ascii="Times New Roman" w:hAnsi="Times New Roman" w:cs="Times New Roman"/>
        </w:rPr>
      </w:pPr>
      <w:r>
        <w:rPr>
          <w:rFonts w:ascii="Times New Roman" w:hAnsi="Times New Roman" w:cs="Times New Roman"/>
        </w:rPr>
        <w:t>Os</w:t>
      </w:r>
      <w:r w:rsidR="00B91715">
        <w:rPr>
          <w:rFonts w:ascii="Times New Roman" w:hAnsi="Times New Roman" w:cs="Times New Roman"/>
        </w:rPr>
        <w:t xml:space="preserve"> Anexo</w:t>
      </w:r>
      <w:r>
        <w:rPr>
          <w:rFonts w:ascii="Times New Roman" w:hAnsi="Times New Roman" w:cs="Times New Roman"/>
        </w:rPr>
        <w:t>s</w:t>
      </w:r>
      <w:r w:rsidR="00B91715">
        <w:rPr>
          <w:rFonts w:ascii="Times New Roman" w:hAnsi="Times New Roman" w:cs="Times New Roman"/>
        </w:rPr>
        <w:t xml:space="preserve"> I</w:t>
      </w:r>
      <w:r>
        <w:rPr>
          <w:rFonts w:ascii="Times New Roman" w:hAnsi="Times New Roman" w:cs="Times New Roman"/>
        </w:rPr>
        <w:t xml:space="preserve"> e II</w:t>
      </w:r>
      <w:r w:rsidR="00B91715">
        <w:rPr>
          <w:rFonts w:ascii="Times New Roman" w:hAnsi="Times New Roman" w:cs="Times New Roman"/>
        </w:rPr>
        <w:t xml:space="preserve"> da Instrução Normativa RFB nº 1.700</w:t>
      </w:r>
      <w:r w:rsidR="00813FDE">
        <w:rPr>
          <w:rFonts w:ascii="Times New Roman" w:hAnsi="Times New Roman" w:cs="Times New Roman"/>
        </w:rPr>
        <w:t>,</w:t>
      </w:r>
      <w:r w:rsidR="00B91715">
        <w:rPr>
          <w:rFonts w:ascii="Times New Roman" w:hAnsi="Times New Roman" w:cs="Times New Roman"/>
        </w:rPr>
        <w:t xml:space="preserve"> de </w:t>
      </w:r>
      <w:r w:rsidR="00813FDE">
        <w:rPr>
          <w:rFonts w:ascii="Times New Roman" w:hAnsi="Times New Roman" w:cs="Times New Roman"/>
        </w:rPr>
        <w:t xml:space="preserve">14 de março de </w:t>
      </w:r>
      <w:r w:rsidR="00B91715">
        <w:rPr>
          <w:rFonts w:ascii="Times New Roman" w:hAnsi="Times New Roman" w:cs="Times New Roman"/>
        </w:rPr>
        <w:t>201</w:t>
      </w:r>
      <w:r w:rsidR="006B4DC1">
        <w:rPr>
          <w:rFonts w:ascii="Times New Roman" w:hAnsi="Times New Roman" w:cs="Times New Roman"/>
        </w:rPr>
        <w:t>7</w:t>
      </w:r>
      <w:r w:rsidR="00B91715">
        <w:rPr>
          <w:rFonts w:ascii="Times New Roman" w:hAnsi="Times New Roman" w:cs="Times New Roman"/>
        </w:rPr>
        <w:t xml:space="preserve">, </w:t>
      </w:r>
      <w:r>
        <w:rPr>
          <w:rFonts w:ascii="Times New Roman" w:hAnsi="Times New Roman" w:cs="Times New Roman"/>
        </w:rPr>
        <w:t>na redação dada</w:t>
      </w:r>
      <w:r w:rsidR="00B91715">
        <w:rPr>
          <w:rFonts w:ascii="Times New Roman" w:hAnsi="Times New Roman" w:cs="Times New Roman"/>
        </w:rPr>
        <w:t xml:space="preserve"> pela Instrução Normativa RFB nº 1.881</w:t>
      </w:r>
      <w:r w:rsidR="00813FDE">
        <w:rPr>
          <w:rFonts w:ascii="Times New Roman" w:hAnsi="Times New Roman" w:cs="Times New Roman"/>
        </w:rPr>
        <w:t>, de 3 de abril</w:t>
      </w:r>
      <w:r w:rsidR="00B91715">
        <w:rPr>
          <w:rFonts w:ascii="Times New Roman" w:hAnsi="Times New Roman" w:cs="Times New Roman"/>
        </w:rPr>
        <w:t xml:space="preserve"> de 2019, discrimina</w:t>
      </w:r>
      <w:r>
        <w:rPr>
          <w:rFonts w:ascii="Times New Roman" w:hAnsi="Times New Roman" w:cs="Times New Roman"/>
        </w:rPr>
        <w:t>m</w:t>
      </w:r>
      <w:r w:rsidR="00B91715">
        <w:rPr>
          <w:rFonts w:ascii="Times New Roman" w:hAnsi="Times New Roman" w:cs="Times New Roman"/>
        </w:rPr>
        <w:t xml:space="preserve"> a lista de adições </w:t>
      </w:r>
      <w:r>
        <w:rPr>
          <w:rFonts w:ascii="Times New Roman" w:hAnsi="Times New Roman" w:cs="Times New Roman"/>
        </w:rPr>
        <w:t xml:space="preserve">e exclusões </w:t>
      </w:r>
      <w:r w:rsidR="00B91715">
        <w:rPr>
          <w:rFonts w:ascii="Times New Roman" w:hAnsi="Times New Roman" w:cs="Times New Roman"/>
        </w:rPr>
        <w:t>aplicáveis ao regime do lucro real no IRPJ e na CSLL</w:t>
      </w:r>
      <w:r>
        <w:rPr>
          <w:rFonts w:ascii="Times New Roman" w:hAnsi="Times New Roman" w:cs="Times New Roman"/>
        </w:rPr>
        <w:t>. Em análise ao Anexo I anteriormente referido,</w:t>
      </w:r>
      <w:r w:rsidR="00B91715">
        <w:rPr>
          <w:rFonts w:ascii="Times New Roman" w:hAnsi="Times New Roman" w:cs="Times New Roman"/>
        </w:rPr>
        <w:t xml:space="preserve"> verifica-se que d</w:t>
      </w:r>
      <w:r>
        <w:rPr>
          <w:rFonts w:ascii="Times New Roman" w:hAnsi="Times New Roman" w:cs="Times New Roman"/>
        </w:rPr>
        <w:t>as</w:t>
      </w:r>
      <w:r w:rsidR="00B91715">
        <w:rPr>
          <w:rFonts w:ascii="Times New Roman" w:hAnsi="Times New Roman" w:cs="Times New Roman"/>
        </w:rPr>
        <w:t xml:space="preserve"> 202</w:t>
      </w:r>
      <w:r w:rsidR="00631AC4">
        <w:rPr>
          <w:rFonts w:ascii="Times New Roman" w:hAnsi="Times New Roman" w:cs="Times New Roman"/>
        </w:rPr>
        <w:t xml:space="preserve"> espécies de</w:t>
      </w:r>
      <w:r w:rsidR="00B91715">
        <w:rPr>
          <w:rFonts w:ascii="Times New Roman" w:hAnsi="Times New Roman" w:cs="Times New Roman"/>
        </w:rPr>
        <w:t xml:space="preserve"> adições</w:t>
      </w:r>
      <w:r w:rsidR="002E7AE1">
        <w:rPr>
          <w:rFonts w:ascii="Times New Roman" w:hAnsi="Times New Roman" w:cs="Times New Roman"/>
        </w:rPr>
        <w:t xml:space="preserve"> </w:t>
      </w:r>
      <w:r w:rsidR="006F6A2D">
        <w:rPr>
          <w:rFonts w:ascii="Times New Roman" w:hAnsi="Times New Roman" w:cs="Times New Roman"/>
        </w:rPr>
        <w:t xml:space="preserve">ali </w:t>
      </w:r>
      <w:r w:rsidR="001434D8">
        <w:rPr>
          <w:rFonts w:ascii="Times New Roman" w:hAnsi="Times New Roman" w:cs="Times New Roman"/>
        </w:rPr>
        <w:t>identificadas</w:t>
      </w:r>
      <w:r w:rsidR="002E7AE1">
        <w:rPr>
          <w:rFonts w:ascii="Times New Roman" w:hAnsi="Times New Roman" w:cs="Times New Roman"/>
        </w:rPr>
        <w:t>,</w:t>
      </w:r>
      <w:r w:rsidR="00B91715">
        <w:rPr>
          <w:rFonts w:ascii="Times New Roman" w:hAnsi="Times New Roman" w:cs="Times New Roman"/>
        </w:rPr>
        <w:t xml:space="preserve"> 107 (53%) se relacionam </w:t>
      </w:r>
      <w:r w:rsidR="00631AC4">
        <w:rPr>
          <w:rFonts w:ascii="Times New Roman" w:hAnsi="Times New Roman" w:cs="Times New Roman"/>
        </w:rPr>
        <w:t xml:space="preserve">com </w:t>
      </w:r>
      <w:r w:rsidR="002E7AE1">
        <w:rPr>
          <w:rFonts w:ascii="Times New Roman" w:hAnsi="Times New Roman" w:cs="Times New Roman"/>
        </w:rPr>
        <w:t>o regramento fiscal</w:t>
      </w:r>
      <w:r w:rsidR="00631AC4">
        <w:rPr>
          <w:rFonts w:ascii="Times New Roman" w:hAnsi="Times New Roman" w:cs="Times New Roman"/>
        </w:rPr>
        <w:t xml:space="preserve"> </w:t>
      </w:r>
      <w:r>
        <w:rPr>
          <w:rFonts w:ascii="Times New Roman" w:hAnsi="Times New Roman" w:cs="Times New Roman"/>
        </w:rPr>
        <w:t>estabelecid</w:t>
      </w:r>
      <w:r w:rsidR="00631AC4">
        <w:rPr>
          <w:rFonts w:ascii="Times New Roman" w:hAnsi="Times New Roman" w:cs="Times New Roman"/>
        </w:rPr>
        <w:t>o</w:t>
      </w:r>
      <w:r w:rsidR="00B91715">
        <w:rPr>
          <w:rFonts w:ascii="Times New Roman" w:hAnsi="Times New Roman" w:cs="Times New Roman"/>
        </w:rPr>
        <w:t xml:space="preserve"> pela Lei nº 12.973</w:t>
      </w:r>
      <w:r w:rsidR="00813FDE">
        <w:rPr>
          <w:rFonts w:ascii="Times New Roman" w:hAnsi="Times New Roman" w:cs="Times New Roman"/>
        </w:rPr>
        <w:t>/</w:t>
      </w:r>
      <w:r w:rsidR="00B91715">
        <w:rPr>
          <w:rFonts w:ascii="Times New Roman" w:hAnsi="Times New Roman" w:cs="Times New Roman"/>
        </w:rPr>
        <w:t xml:space="preserve">2014. </w:t>
      </w:r>
      <w:r>
        <w:rPr>
          <w:rFonts w:ascii="Times New Roman" w:hAnsi="Times New Roman" w:cs="Times New Roman"/>
        </w:rPr>
        <w:t>Por seu turno, n</w:t>
      </w:r>
      <w:r w:rsidR="00B91715">
        <w:rPr>
          <w:rFonts w:ascii="Times New Roman" w:hAnsi="Times New Roman" w:cs="Times New Roman"/>
        </w:rPr>
        <w:t>o Anexo II da mencionada normativa observa-se que d</w:t>
      </w:r>
      <w:r w:rsidR="00631AC4">
        <w:rPr>
          <w:rFonts w:ascii="Times New Roman" w:hAnsi="Times New Roman" w:cs="Times New Roman"/>
        </w:rPr>
        <w:t>os</w:t>
      </w:r>
      <w:r w:rsidR="00B91715">
        <w:rPr>
          <w:rFonts w:ascii="Times New Roman" w:hAnsi="Times New Roman" w:cs="Times New Roman"/>
        </w:rPr>
        <w:t xml:space="preserve"> 144 </w:t>
      </w:r>
      <w:r w:rsidR="00631AC4">
        <w:rPr>
          <w:rFonts w:ascii="Times New Roman" w:hAnsi="Times New Roman" w:cs="Times New Roman"/>
        </w:rPr>
        <w:t>tipos</w:t>
      </w:r>
      <w:r w:rsidR="00B91715">
        <w:rPr>
          <w:rFonts w:ascii="Times New Roman" w:hAnsi="Times New Roman" w:cs="Times New Roman"/>
        </w:rPr>
        <w:t xml:space="preserve"> de exclusões</w:t>
      </w:r>
      <w:r w:rsidR="002E7AE1">
        <w:rPr>
          <w:rFonts w:ascii="Times New Roman" w:hAnsi="Times New Roman" w:cs="Times New Roman"/>
        </w:rPr>
        <w:t xml:space="preserve"> </w:t>
      </w:r>
      <w:r w:rsidR="00891C84">
        <w:rPr>
          <w:rFonts w:ascii="Times New Roman" w:hAnsi="Times New Roman" w:cs="Times New Roman"/>
        </w:rPr>
        <w:t xml:space="preserve">ali </w:t>
      </w:r>
      <w:r w:rsidR="006F6A2D">
        <w:rPr>
          <w:rFonts w:ascii="Times New Roman" w:hAnsi="Times New Roman" w:cs="Times New Roman"/>
        </w:rPr>
        <w:t>elencadas</w:t>
      </w:r>
      <w:r w:rsidR="00B91715">
        <w:rPr>
          <w:rFonts w:ascii="Times New Roman" w:hAnsi="Times New Roman" w:cs="Times New Roman"/>
        </w:rPr>
        <w:t>,</w:t>
      </w:r>
      <w:r w:rsidR="00631AC4">
        <w:rPr>
          <w:rFonts w:ascii="Times New Roman" w:hAnsi="Times New Roman" w:cs="Times New Roman"/>
        </w:rPr>
        <w:t xml:space="preserve"> 80 (55,5%) dizem respeito a regras estatuídas pela Lei nº 12.973</w:t>
      </w:r>
      <w:r w:rsidR="00813FDE">
        <w:rPr>
          <w:rFonts w:ascii="Times New Roman" w:hAnsi="Times New Roman" w:cs="Times New Roman"/>
        </w:rPr>
        <w:t>/</w:t>
      </w:r>
      <w:r w:rsidR="00631AC4">
        <w:rPr>
          <w:rFonts w:ascii="Times New Roman" w:hAnsi="Times New Roman" w:cs="Times New Roman"/>
        </w:rPr>
        <w:t>2014.</w:t>
      </w:r>
      <w:r w:rsidR="00B91715">
        <w:rPr>
          <w:rFonts w:ascii="Times New Roman" w:hAnsi="Times New Roman" w:cs="Times New Roman"/>
        </w:rPr>
        <w:t xml:space="preserve"> </w:t>
      </w:r>
      <w:r w:rsidR="000A76D6">
        <w:rPr>
          <w:rFonts w:ascii="Times New Roman" w:hAnsi="Times New Roman" w:cs="Times New Roman"/>
        </w:rPr>
        <w:t xml:space="preserve">Tal </w:t>
      </w:r>
      <w:r w:rsidR="000A76D6">
        <w:rPr>
          <w:rFonts w:ascii="Times New Roman" w:hAnsi="Times New Roman" w:cs="Times New Roman"/>
        </w:rPr>
        <w:lastRenderedPageBreak/>
        <w:t>informação</w:t>
      </w:r>
      <w:r w:rsidR="00850BD3">
        <w:rPr>
          <w:rFonts w:ascii="Times New Roman" w:hAnsi="Times New Roman" w:cs="Times New Roman"/>
        </w:rPr>
        <w:t xml:space="preserve"> extraída </w:t>
      </w:r>
      <w:proofErr w:type="spellStart"/>
      <w:r w:rsidR="00850BD3">
        <w:rPr>
          <w:rFonts w:ascii="Times New Roman" w:hAnsi="Times New Roman" w:cs="Times New Roman"/>
        </w:rPr>
        <w:t>so</w:t>
      </w:r>
      <w:proofErr w:type="spellEnd"/>
      <w:r w:rsidR="00850BD3">
        <w:rPr>
          <w:rFonts w:ascii="Times New Roman" w:hAnsi="Times New Roman" w:cs="Times New Roman"/>
        </w:rPr>
        <w:t xml:space="preserve"> própria legislação tributária</w:t>
      </w:r>
      <w:r w:rsidR="000A76D6">
        <w:rPr>
          <w:rFonts w:ascii="Times New Roman" w:hAnsi="Times New Roman" w:cs="Times New Roman"/>
        </w:rPr>
        <w:t xml:space="preserve"> denota uma significativa ampliação do rol de diferenças entre os lucros contábil e fiscal a partir do ano de 2015. </w:t>
      </w:r>
    </w:p>
    <w:p w14:paraId="2C743296" w14:textId="4ECE5732" w:rsidR="00C818AA" w:rsidRDefault="00C818AA" w:rsidP="001D0599">
      <w:pPr>
        <w:spacing w:after="120"/>
        <w:ind w:firstLine="709"/>
        <w:jc w:val="both"/>
        <w:rPr>
          <w:rFonts w:ascii="Times New Roman" w:hAnsi="Times New Roman" w:cs="Times New Roman"/>
        </w:rPr>
      </w:pPr>
      <w:r>
        <w:rPr>
          <w:rFonts w:ascii="Times New Roman" w:hAnsi="Times New Roman" w:cs="Times New Roman"/>
        </w:rPr>
        <w:t>Em exame ao</w:t>
      </w:r>
      <w:r w:rsidR="006F6A2D">
        <w:rPr>
          <w:rFonts w:ascii="Times New Roman" w:hAnsi="Times New Roman" w:cs="Times New Roman"/>
        </w:rPr>
        <w:t>s</w:t>
      </w:r>
      <w:r w:rsidR="000F44F2">
        <w:rPr>
          <w:rFonts w:ascii="Times New Roman" w:hAnsi="Times New Roman" w:cs="Times New Roman"/>
        </w:rPr>
        <w:t xml:space="preserve"> texto</w:t>
      </w:r>
      <w:r w:rsidR="006F6A2D">
        <w:rPr>
          <w:rFonts w:ascii="Times New Roman" w:hAnsi="Times New Roman" w:cs="Times New Roman"/>
        </w:rPr>
        <w:t>s</w:t>
      </w:r>
      <w:r>
        <w:rPr>
          <w:rFonts w:ascii="Times New Roman" w:hAnsi="Times New Roman" w:cs="Times New Roman"/>
        </w:rPr>
        <w:t xml:space="preserve"> da Lei nº 12.973</w:t>
      </w:r>
      <w:r w:rsidR="00813FDE">
        <w:rPr>
          <w:rFonts w:ascii="Times New Roman" w:hAnsi="Times New Roman" w:cs="Times New Roman"/>
        </w:rPr>
        <w:t>/</w:t>
      </w:r>
      <w:r>
        <w:rPr>
          <w:rFonts w:ascii="Times New Roman" w:hAnsi="Times New Roman" w:cs="Times New Roman"/>
        </w:rPr>
        <w:t>2014</w:t>
      </w:r>
      <w:r w:rsidR="00B51555">
        <w:rPr>
          <w:rFonts w:ascii="Times New Roman" w:hAnsi="Times New Roman" w:cs="Times New Roman"/>
        </w:rPr>
        <w:t xml:space="preserve"> e </w:t>
      </w:r>
      <w:r w:rsidR="00FD5501">
        <w:rPr>
          <w:rFonts w:ascii="Times New Roman" w:hAnsi="Times New Roman" w:cs="Times New Roman"/>
        </w:rPr>
        <w:t>da Instrução Normativa RFB nº 1.700</w:t>
      </w:r>
      <w:r w:rsidR="00813FDE">
        <w:rPr>
          <w:rFonts w:ascii="Times New Roman" w:hAnsi="Times New Roman" w:cs="Times New Roman"/>
        </w:rPr>
        <w:t>/</w:t>
      </w:r>
      <w:r w:rsidR="00FD5501">
        <w:rPr>
          <w:rFonts w:ascii="Times New Roman" w:hAnsi="Times New Roman" w:cs="Times New Roman"/>
        </w:rPr>
        <w:t>201</w:t>
      </w:r>
      <w:r w:rsidR="00B25BD3">
        <w:rPr>
          <w:rFonts w:ascii="Times New Roman" w:hAnsi="Times New Roman" w:cs="Times New Roman"/>
        </w:rPr>
        <w:t xml:space="preserve">7, </w:t>
      </w:r>
      <w:r>
        <w:rPr>
          <w:rFonts w:ascii="Times New Roman" w:hAnsi="Times New Roman" w:cs="Times New Roman"/>
        </w:rPr>
        <w:t>verific</w:t>
      </w:r>
      <w:r w:rsidR="000A76D6">
        <w:rPr>
          <w:rFonts w:ascii="Times New Roman" w:hAnsi="Times New Roman" w:cs="Times New Roman"/>
        </w:rPr>
        <w:t>ou</w:t>
      </w:r>
      <w:r>
        <w:rPr>
          <w:rFonts w:ascii="Times New Roman" w:hAnsi="Times New Roman" w:cs="Times New Roman"/>
        </w:rPr>
        <w:t xml:space="preserve">-se que </w:t>
      </w:r>
      <w:r w:rsidR="00B25BD3">
        <w:rPr>
          <w:rFonts w:ascii="Times New Roman" w:hAnsi="Times New Roman" w:cs="Times New Roman"/>
        </w:rPr>
        <w:t>seus</w:t>
      </w:r>
      <w:r w:rsidR="000F44F2">
        <w:rPr>
          <w:rFonts w:ascii="Times New Roman" w:hAnsi="Times New Roman" w:cs="Times New Roman"/>
        </w:rPr>
        <w:t xml:space="preserve"> </w:t>
      </w:r>
      <w:r>
        <w:rPr>
          <w:rFonts w:ascii="Times New Roman" w:hAnsi="Times New Roman" w:cs="Times New Roman"/>
        </w:rPr>
        <w:t xml:space="preserve">dispositivos </w:t>
      </w:r>
      <w:r w:rsidR="00631AC4">
        <w:rPr>
          <w:rFonts w:ascii="Times New Roman" w:hAnsi="Times New Roman" w:cs="Times New Roman"/>
        </w:rPr>
        <w:t>criaram</w:t>
      </w:r>
      <w:r>
        <w:rPr>
          <w:rFonts w:ascii="Times New Roman" w:hAnsi="Times New Roman" w:cs="Times New Roman"/>
        </w:rPr>
        <w:t xml:space="preserve"> novas espécies de diferenças temporárias </w:t>
      </w:r>
      <w:r w:rsidR="00274BB7">
        <w:rPr>
          <w:rFonts w:ascii="Times New Roman" w:hAnsi="Times New Roman" w:cs="Times New Roman"/>
        </w:rPr>
        <w:t>com o objetivo de</w:t>
      </w:r>
      <w:r w:rsidR="002E7AE1">
        <w:rPr>
          <w:rFonts w:ascii="Times New Roman" w:hAnsi="Times New Roman" w:cs="Times New Roman"/>
        </w:rPr>
        <w:t xml:space="preserve"> conferir tratamento tributário</w:t>
      </w:r>
      <w:r w:rsidR="001434D8">
        <w:rPr>
          <w:rFonts w:ascii="Times New Roman" w:hAnsi="Times New Roman" w:cs="Times New Roman"/>
        </w:rPr>
        <w:t xml:space="preserve">, </w:t>
      </w:r>
      <w:r>
        <w:rPr>
          <w:rFonts w:ascii="Times New Roman" w:hAnsi="Times New Roman" w:cs="Times New Roman"/>
        </w:rPr>
        <w:t>neutraliz</w:t>
      </w:r>
      <w:r w:rsidR="00274BB7">
        <w:rPr>
          <w:rFonts w:ascii="Times New Roman" w:hAnsi="Times New Roman" w:cs="Times New Roman"/>
        </w:rPr>
        <w:t>a</w:t>
      </w:r>
      <w:r w:rsidR="001434D8">
        <w:rPr>
          <w:rFonts w:ascii="Times New Roman" w:hAnsi="Times New Roman" w:cs="Times New Roman"/>
        </w:rPr>
        <w:t>ndo</w:t>
      </w:r>
      <w:r>
        <w:rPr>
          <w:rFonts w:ascii="Times New Roman" w:hAnsi="Times New Roman" w:cs="Times New Roman"/>
        </w:rPr>
        <w:t xml:space="preserve"> para fins </w:t>
      </w:r>
      <w:r w:rsidR="002E7AE1">
        <w:rPr>
          <w:rFonts w:ascii="Times New Roman" w:hAnsi="Times New Roman" w:cs="Times New Roman"/>
        </w:rPr>
        <w:t>fiscais</w:t>
      </w:r>
      <w:r>
        <w:rPr>
          <w:rFonts w:ascii="Times New Roman" w:hAnsi="Times New Roman" w:cs="Times New Roman"/>
        </w:rPr>
        <w:t>:</w:t>
      </w:r>
      <w:r w:rsidR="00850BD3">
        <w:rPr>
          <w:rFonts w:ascii="Times New Roman" w:hAnsi="Times New Roman" w:cs="Times New Roman"/>
        </w:rPr>
        <w:t xml:space="preserve"> a)</w:t>
      </w:r>
      <w:r w:rsidR="00FD5501">
        <w:rPr>
          <w:rFonts w:ascii="Times New Roman" w:hAnsi="Times New Roman" w:cs="Times New Roman"/>
        </w:rPr>
        <w:t xml:space="preserve"> o ajuste a valor presente;</w:t>
      </w:r>
      <w:r w:rsidR="00850BD3">
        <w:rPr>
          <w:rFonts w:ascii="Times New Roman" w:hAnsi="Times New Roman" w:cs="Times New Roman"/>
        </w:rPr>
        <w:t xml:space="preserve"> b) </w:t>
      </w:r>
      <w:r w:rsidR="00FD5501">
        <w:rPr>
          <w:rFonts w:ascii="Times New Roman" w:hAnsi="Times New Roman" w:cs="Times New Roman"/>
        </w:rPr>
        <w:t>o ajuste a valor justo;</w:t>
      </w:r>
      <w:r w:rsidR="00850BD3">
        <w:rPr>
          <w:rFonts w:ascii="Times New Roman" w:hAnsi="Times New Roman" w:cs="Times New Roman"/>
        </w:rPr>
        <w:t xml:space="preserve"> c) </w:t>
      </w:r>
      <w:r w:rsidR="002E7AE1">
        <w:rPr>
          <w:rFonts w:ascii="Times New Roman" w:hAnsi="Times New Roman" w:cs="Times New Roman"/>
        </w:rPr>
        <w:t>os</w:t>
      </w:r>
      <w:r w:rsidR="00FD5501">
        <w:rPr>
          <w:rFonts w:ascii="Times New Roman" w:hAnsi="Times New Roman" w:cs="Times New Roman"/>
        </w:rPr>
        <w:t xml:space="preserve"> arrendamento</w:t>
      </w:r>
      <w:r w:rsidR="002E7AE1">
        <w:rPr>
          <w:rFonts w:ascii="Times New Roman" w:hAnsi="Times New Roman" w:cs="Times New Roman"/>
        </w:rPr>
        <w:t>s</w:t>
      </w:r>
      <w:r w:rsidR="00FD5501">
        <w:rPr>
          <w:rFonts w:ascii="Times New Roman" w:hAnsi="Times New Roman" w:cs="Times New Roman"/>
        </w:rPr>
        <w:t xml:space="preserve"> mercanti</w:t>
      </w:r>
      <w:r w:rsidR="002E7AE1">
        <w:rPr>
          <w:rFonts w:ascii="Times New Roman" w:hAnsi="Times New Roman" w:cs="Times New Roman"/>
        </w:rPr>
        <w:t>s</w:t>
      </w:r>
      <w:r w:rsidR="00FD5501">
        <w:rPr>
          <w:rFonts w:ascii="Times New Roman" w:hAnsi="Times New Roman" w:cs="Times New Roman"/>
        </w:rPr>
        <w:t>;</w:t>
      </w:r>
      <w:r w:rsidR="00850BD3">
        <w:rPr>
          <w:rFonts w:ascii="Times New Roman" w:hAnsi="Times New Roman" w:cs="Times New Roman"/>
        </w:rPr>
        <w:t xml:space="preserve"> d) </w:t>
      </w:r>
      <w:r w:rsidR="00FD5501">
        <w:rPr>
          <w:rFonts w:ascii="Times New Roman" w:hAnsi="Times New Roman" w:cs="Times New Roman"/>
        </w:rPr>
        <w:t>a redução ao valor recuperável</w:t>
      </w:r>
      <w:r w:rsidR="000F44F2">
        <w:rPr>
          <w:rFonts w:ascii="Times New Roman" w:hAnsi="Times New Roman" w:cs="Times New Roman"/>
        </w:rPr>
        <w:t xml:space="preserve"> dos ativos</w:t>
      </w:r>
      <w:r w:rsidR="00FD5501">
        <w:rPr>
          <w:rFonts w:ascii="Times New Roman" w:hAnsi="Times New Roman" w:cs="Times New Roman"/>
        </w:rPr>
        <w:t xml:space="preserve"> (</w:t>
      </w:r>
      <w:proofErr w:type="spellStart"/>
      <w:r w:rsidR="00FD5501" w:rsidRPr="00274BB7">
        <w:rPr>
          <w:rFonts w:ascii="Times New Roman" w:hAnsi="Times New Roman" w:cs="Times New Roman"/>
          <w:i/>
          <w:iCs/>
        </w:rPr>
        <w:t>impairment</w:t>
      </w:r>
      <w:proofErr w:type="spellEnd"/>
      <w:r w:rsidR="00FD5501">
        <w:rPr>
          <w:rFonts w:ascii="Times New Roman" w:hAnsi="Times New Roman" w:cs="Times New Roman"/>
        </w:rPr>
        <w:t>);</w:t>
      </w:r>
      <w:r w:rsidR="00850BD3">
        <w:rPr>
          <w:rFonts w:ascii="Times New Roman" w:hAnsi="Times New Roman" w:cs="Times New Roman"/>
        </w:rPr>
        <w:t xml:space="preserve"> e) </w:t>
      </w:r>
      <w:r w:rsidR="000F44F2">
        <w:rPr>
          <w:rFonts w:ascii="Times New Roman" w:hAnsi="Times New Roman" w:cs="Times New Roman"/>
        </w:rPr>
        <w:t xml:space="preserve">o imobilizado e </w:t>
      </w:r>
      <w:r w:rsidR="006E49E4">
        <w:rPr>
          <w:rFonts w:ascii="Times New Roman" w:hAnsi="Times New Roman" w:cs="Times New Roman"/>
        </w:rPr>
        <w:t xml:space="preserve">o </w:t>
      </w:r>
      <w:r w:rsidR="000F44F2">
        <w:rPr>
          <w:rFonts w:ascii="Times New Roman" w:hAnsi="Times New Roman" w:cs="Times New Roman"/>
        </w:rPr>
        <w:t>intangível</w:t>
      </w:r>
      <w:r w:rsidR="006E49E4">
        <w:rPr>
          <w:rFonts w:ascii="Times New Roman" w:hAnsi="Times New Roman" w:cs="Times New Roman"/>
        </w:rPr>
        <w:t xml:space="preserve">, inclusive </w:t>
      </w:r>
      <w:r w:rsidR="002E7AE1">
        <w:rPr>
          <w:rFonts w:ascii="Times New Roman" w:hAnsi="Times New Roman" w:cs="Times New Roman"/>
        </w:rPr>
        <w:t xml:space="preserve">os </w:t>
      </w:r>
      <w:r w:rsidR="00B25BD3">
        <w:rPr>
          <w:rFonts w:ascii="Times New Roman" w:hAnsi="Times New Roman" w:cs="Times New Roman"/>
        </w:rPr>
        <w:t xml:space="preserve">custos de desmontagem, </w:t>
      </w:r>
      <w:r w:rsidR="002E7AE1">
        <w:rPr>
          <w:rFonts w:ascii="Times New Roman" w:hAnsi="Times New Roman" w:cs="Times New Roman"/>
        </w:rPr>
        <w:t xml:space="preserve">a </w:t>
      </w:r>
      <w:r w:rsidR="006E49E4">
        <w:rPr>
          <w:rFonts w:ascii="Times New Roman" w:hAnsi="Times New Roman" w:cs="Times New Roman"/>
        </w:rPr>
        <w:t xml:space="preserve">depreciação e </w:t>
      </w:r>
      <w:r w:rsidR="002E7AE1">
        <w:rPr>
          <w:rFonts w:ascii="Times New Roman" w:hAnsi="Times New Roman" w:cs="Times New Roman"/>
        </w:rPr>
        <w:t xml:space="preserve">a </w:t>
      </w:r>
      <w:r w:rsidR="006E49E4">
        <w:rPr>
          <w:rFonts w:ascii="Times New Roman" w:hAnsi="Times New Roman" w:cs="Times New Roman"/>
        </w:rPr>
        <w:t>amortização</w:t>
      </w:r>
      <w:r w:rsidR="000F44F2">
        <w:rPr>
          <w:rFonts w:ascii="Times New Roman" w:hAnsi="Times New Roman" w:cs="Times New Roman"/>
        </w:rPr>
        <w:t>;</w:t>
      </w:r>
      <w:r w:rsidR="00850BD3">
        <w:rPr>
          <w:rFonts w:ascii="Times New Roman" w:hAnsi="Times New Roman" w:cs="Times New Roman"/>
        </w:rPr>
        <w:t xml:space="preserve"> f) </w:t>
      </w:r>
      <w:r w:rsidR="00FD5501">
        <w:rPr>
          <w:rFonts w:ascii="Times New Roman" w:hAnsi="Times New Roman" w:cs="Times New Roman"/>
        </w:rPr>
        <w:t>os investimentos em coligadas e controladas</w:t>
      </w:r>
      <w:r w:rsidR="00850BD3">
        <w:rPr>
          <w:rFonts w:ascii="Times New Roman" w:hAnsi="Times New Roman" w:cs="Times New Roman"/>
        </w:rPr>
        <w:t xml:space="preserve">; g) </w:t>
      </w:r>
      <w:r w:rsidR="00FD5501">
        <w:rPr>
          <w:rFonts w:ascii="Times New Roman" w:hAnsi="Times New Roman" w:cs="Times New Roman"/>
        </w:rPr>
        <w:t xml:space="preserve">as combinações de negócios, inclusive o tratamento fiscal </w:t>
      </w:r>
      <w:r w:rsidR="001434D8">
        <w:rPr>
          <w:rFonts w:ascii="Times New Roman" w:hAnsi="Times New Roman" w:cs="Times New Roman"/>
        </w:rPr>
        <w:t>ao</w:t>
      </w:r>
      <w:r w:rsidR="00FD5501">
        <w:rPr>
          <w:rFonts w:ascii="Times New Roman" w:hAnsi="Times New Roman" w:cs="Times New Roman"/>
        </w:rPr>
        <w:t xml:space="preserve"> </w:t>
      </w:r>
      <w:proofErr w:type="spellStart"/>
      <w:r w:rsidR="00FD5501" w:rsidRPr="00476498">
        <w:rPr>
          <w:rFonts w:ascii="Times New Roman" w:hAnsi="Times New Roman" w:cs="Times New Roman"/>
          <w:i/>
          <w:iCs/>
        </w:rPr>
        <w:t>goodwi</w:t>
      </w:r>
      <w:r w:rsidR="00FD5501">
        <w:rPr>
          <w:rFonts w:ascii="Times New Roman" w:hAnsi="Times New Roman" w:cs="Times New Roman"/>
          <w:i/>
          <w:iCs/>
        </w:rPr>
        <w:t>l</w:t>
      </w:r>
      <w:r w:rsidR="00FD5501" w:rsidRPr="00476498">
        <w:rPr>
          <w:rFonts w:ascii="Times New Roman" w:hAnsi="Times New Roman" w:cs="Times New Roman"/>
          <w:i/>
          <w:iCs/>
        </w:rPr>
        <w:t>l</w:t>
      </w:r>
      <w:proofErr w:type="spellEnd"/>
      <w:r w:rsidR="00FD5501">
        <w:rPr>
          <w:rFonts w:ascii="Times New Roman" w:hAnsi="Times New Roman" w:cs="Times New Roman"/>
        </w:rPr>
        <w:t xml:space="preserve">, </w:t>
      </w:r>
      <w:r w:rsidR="001434D8">
        <w:rPr>
          <w:rFonts w:ascii="Times New Roman" w:hAnsi="Times New Roman" w:cs="Times New Roman"/>
        </w:rPr>
        <w:t xml:space="preserve">à </w:t>
      </w:r>
      <w:r w:rsidR="00FD5501">
        <w:rPr>
          <w:rFonts w:ascii="Times New Roman" w:hAnsi="Times New Roman" w:cs="Times New Roman"/>
        </w:rPr>
        <w:t>mais-valia</w:t>
      </w:r>
      <w:r w:rsidR="000F44F2">
        <w:rPr>
          <w:rFonts w:ascii="Times New Roman" w:hAnsi="Times New Roman" w:cs="Times New Roman"/>
        </w:rPr>
        <w:t xml:space="preserve"> </w:t>
      </w:r>
      <w:r w:rsidR="00FD5501">
        <w:rPr>
          <w:rFonts w:ascii="Times New Roman" w:hAnsi="Times New Roman" w:cs="Times New Roman"/>
        </w:rPr>
        <w:t xml:space="preserve">e </w:t>
      </w:r>
      <w:r w:rsidR="001434D8">
        <w:rPr>
          <w:rFonts w:ascii="Times New Roman" w:hAnsi="Times New Roman" w:cs="Times New Roman"/>
        </w:rPr>
        <w:t xml:space="preserve">às </w:t>
      </w:r>
      <w:r w:rsidR="00FD5501">
        <w:rPr>
          <w:rFonts w:ascii="Times New Roman" w:hAnsi="Times New Roman" w:cs="Times New Roman"/>
        </w:rPr>
        <w:t>demais parcelas;</w:t>
      </w:r>
      <w:r w:rsidR="00850BD3">
        <w:rPr>
          <w:rFonts w:ascii="Times New Roman" w:hAnsi="Times New Roman" w:cs="Times New Roman"/>
        </w:rPr>
        <w:t xml:space="preserve"> h) </w:t>
      </w:r>
      <w:r w:rsidR="00FD5501">
        <w:rPr>
          <w:rFonts w:ascii="Times New Roman" w:hAnsi="Times New Roman" w:cs="Times New Roman"/>
        </w:rPr>
        <w:t>as concessões de serviços públicos;</w:t>
      </w:r>
      <w:r w:rsidR="00850BD3">
        <w:rPr>
          <w:rFonts w:ascii="Times New Roman" w:hAnsi="Times New Roman" w:cs="Times New Roman"/>
        </w:rPr>
        <w:t xml:space="preserve"> (i) </w:t>
      </w:r>
      <w:r w:rsidR="000F44F2">
        <w:rPr>
          <w:rFonts w:ascii="Times New Roman" w:hAnsi="Times New Roman" w:cs="Times New Roman"/>
        </w:rPr>
        <w:t xml:space="preserve">as </w:t>
      </w:r>
      <w:r w:rsidR="00FD5501">
        <w:rPr>
          <w:rFonts w:ascii="Times New Roman" w:hAnsi="Times New Roman" w:cs="Times New Roman"/>
        </w:rPr>
        <w:t>doações e subvenções do poder público;</w:t>
      </w:r>
      <w:r w:rsidR="00850BD3">
        <w:rPr>
          <w:rFonts w:ascii="Times New Roman" w:hAnsi="Times New Roman" w:cs="Times New Roman"/>
        </w:rPr>
        <w:t xml:space="preserve"> (j) </w:t>
      </w:r>
      <w:r w:rsidR="000F44F2">
        <w:rPr>
          <w:rFonts w:ascii="Times New Roman" w:hAnsi="Times New Roman" w:cs="Times New Roman"/>
        </w:rPr>
        <w:t xml:space="preserve">os </w:t>
      </w:r>
      <w:r w:rsidR="00FD5501">
        <w:rPr>
          <w:rFonts w:ascii="Times New Roman" w:hAnsi="Times New Roman" w:cs="Times New Roman"/>
        </w:rPr>
        <w:t>prêmios na emissão de debêntures</w:t>
      </w:r>
      <w:r w:rsidR="000F44F2">
        <w:rPr>
          <w:rFonts w:ascii="Times New Roman" w:hAnsi="Times New Roman" w:cs="Times New Roman"/>
        </w:rPr>
        <w:t>;</w:t>
      </w:r>
      <w:r w:rsidR="00850BD3">
        <w:rPr>
          <w:rFonts w:ascii="Times New Roman" w:hAnsi="Times New Roman" w:cs="Times New Roman"/>
        </w:rPr>
        <w:t xml:space="preserve"> (k) </w:t>
      </w:r>
      <w:r w:rsidR="000F44F2">
        <w:rPr>
          <w:rFonts w:ascii="Times New Roman" w:hAnsi="Times New Roman" w:cs="Times New Roman"/>
        </w:rPr>
        <w:t>os pagamentos baseados em ações;</w:t>
      </w:r>
      <w:r w:rsidR="00850BD3">
        <w:rPr>
          <w:rFonts w:ascii="Times New Roman" w:hAnsi="Times New Roman" w:cs="Times New Roman"/>
        </w:rPr>
        <w:t xml:space="preserve"> (l) </w:t>
      </w:r>
      <w:r w:rsidR="000F44F2">
        <w:rPr>
          <w:rFonts w:ascii="Times New Roman" w:hAnsi="Times New Roman" w:cs="Times New Roman"/>
        </w:rPr>
        <w:t>as propriedades para investimento;</w:t>
      </w:r>
      <w:r w:rsidR="00850BD3">
        <w:rPr>
          <w:rFonts w:ascii="Times New Roman" w:hAnsi="Times New Roman" w:cs="Times New Roman"/>
        </w:rPr>
        <w:t xml:space="preserve"> (m) </w:t>
      </w:r>
      <w:r w:rsidR="000F44F2">
        <w:rPr>
          <w:rFonts w:ascii="Times New Roman" w:hAnsi="Times New Roman" w:cs="Times New Roman"/>
        </w:rPr>
        <w:t>os juros de empréstimos</w:t>
      </w:r>
      <w:r w:rsidR="00850BD3">
        <w:rPr>
          <w:rFonts w:ascii="Times New Roman" w:hAnsi="Times New Roman" w:cs="Times New Roman"/>
        </w:rPr>
        <w:t xml:space="preserve">; (n) </w:t>
      </w:r>
      <w:r w:rsidR="000F44F2">
        <w:rPr>
          <w:rFonts w:ascii="Times New Roman" w:hAnsi="Times New Roman" w:cs="Times New Roman"/>
        </w:rPr>
        <w:t xml:space="preserve">as despesas com </w:t>
      </w:r>
      <w:r w:rsidR="006E49E4">
        <w:rPr>
          <w:rFonts w:ascii="Times New Roman" w:hAnsi="Times New Roman" w:cs="Times New Roman"/>
        </w:rPr>
        <w:t xml:space="preserve">emissões de </w:t>
      </w:r>
      <w:r w:rsidR="001434D8">
        <w:rPr>
          <w:rFonts w:ascii="Times New Roman" w:hAnsi="Times New Roman" w:cs="Times New Roman"/>
        </w:rPr>
        <w:t>instrumentos de capital e ou de dívida subordinada</w:t>
      </w:r>
      <w:r w:rsidR="000F44F2">
        <w:rPr>
          <w:rFonts w:ascii="Times New Roman" w:hAnsi="Times New Roman" w:cs="Times New Roman"/>
        </w:rPr>
        <w:t>;</w:t>
      </w:r>
      <w:r w:rsidR="00850BD3">
        <w:rPr>
          <w:rFonts w:ascii="Times New Roman" w:hAnsi="Times New Roman" w:cs="Times New Roman"/>
        </w:rPr>
        <w:t xml:space="preserve"> (o) </w:t>
      </w:r>
      <w:r w:rsidR="00274BB7">
        <w:rPr>
          <w:rFonts w:ascii="Times New Roman" w:hAnsi="Times New Roman" w:cs="Times New Roman"/>
        </w:rPr>
        <w:t>as</w:t>
      </w:r>
      <w:r>
        <w:rPr>
          <w:rFonts w:ascii="Times New Roman" w:hAnsi="Times New Roman" w:cs="Times New Roman"/>
        </w:rPr>
        <w:t xml:space="preserve"> adoções iniciais </w:t>
      </w:r>
      <w:r w:rsidR="00274BB7">
        <w:rPr>
          <w:rFonts w:ascii="Times New Roman" w:hAnsi="Times New Roman" w:cs="Times New Roman"/>
        </w:rPr>
        <w:t>do</w:t>
      </w:r>
      <w:r w:rsidR="00100104">
        <w:rPr>
          <w:rFonts w:ascii="Times New Roman" w:hAnsi="Times New Roman" w:cs="Times New Roman"/>
        </w:rPr>
        <w:t xml:space="preserve"> ajuste de avaliação patrimonial, </w:t>
      </w:r>
      <w:r w:rsidR="00274BB7">
        <w:rPr>
          <w:rFonts w:ascii="Times New Roman" w:hAnsi="Times New Roman" w:cs="Times New Roman"/>
        </w:rPr>
        <w:t xml:space="preserve">do </w:t>
      </w:r>
      <w:r w:rsidR="00100104">
        <w:rPr>
          <w:rFonts w:ascii="Times New Roman" w:hAnsi="Times New Roman" w:cs="Times New Roman"/>
        </w:rPr>
        <w:t xml:space="preserve">ativo diferido, </w:t>
      </w:r>
      <w:r w:rsidR="00274BB7">
        <w:rPr>
          <w:rFonts w:ascii="Times New Roman" w:hAnsi="Times New Roman" w:cs="Times New Roman"/>
        </w:rPr>
        <w:t>d</w:t>
      </w:r>
      <w:r w:rsidR="0025547D">
        <w:rPr>
          <w:rFonts w:ascii="Times New Roman" w:hAnsi="Times New Roman" w:cs="Times New Roman"/>
        </w:rPr>
        <w:t>e</w:t>
      </w:r>
      <w:r w:rsidR="00274BB7">
        <w:rPr>
          <w:rFonts w:ascii="Times New Roman" w:hAnsi="Times New Roman" w:cs="Times New Roman"/>
        </w:rPr>
        <w:t xml:space="preserve"> </w:t>
      </w:r>
      <w:r w:rsidR="002639E4">
        <w:rPr>
          <w:rFonts w:ascii="Times New Roman" w:hAnsi="Times New Roman" w:cs="Times New Roman"/>
        </w:rPr>
        <w:t>ativos relacionados a</w:t>
      </w:r>
      <w:r w:rsidR="0025547D">
        <w:rPr>
          <w:rFonts w:ascii="Times New Roman" w:hAnsi="Times New Roman" w:cs="Times New Roman"/>
        </w:rPr>
        <w:t>os</w:t>
      </w:r>
      <w:r w:rsidR="002639E4">
        <w:rPr>
          <w:rFonts w:ascii="Times New Roman" w:hAnsi="Times New Roman" w:cs="Times New Roman"/>
        </w:rPr>
        <w:t xml:space="preserve"> </w:t>
      </w:r>
      <w:r w:rsidR="00100104">
        <w:rPr>
          <w:rFonts w:ascii="Times New Roman" w:hAnsi="Times New Roman" w:cs="Times New Roman"/>
        </w:rPr>
        <w:t xml:space="preserve">contratos de concessão </w:t>
      </w:r>
      <w:r w:rsidR="00274BB7">
        <w:rPr>
          <w:rFonts w:ascii="Times New Roman" w:hAnsi="Times New Roman" w:cs="Times New Roman"/>
        </w:rPr>
        <w:t>de serviços públicos</w:t>
      </w:r>
      <w:r w:rsidR="00B25BD3">
        <w:rPr>
          <w:rFonts w:ascii="Times New Roman" w:hAnsi="Times New Roman" w:cs="Times New Roman"/>
        </w:rPr>
        <w:t xml:space="preserve">, </w:t>
      </w:r>
      <w:r w:rsidR="00274BB7">
        <w:rPr>
          <w:rFonts w:ascii="Times New Roman" w:hAnsi="Times New Roman" w:cs="Times New Roman"/>
        </w:rPr>
        <w:t>de diferenças</w:t>
      </w:r>
      <w:r w:rsidR="002639E4">
        <w:rPr>
          <w:rFonts w:ascii="Times New Roman" w:hAnsi="Times New Roman" w:cs="Times New Roman"/>
        </w:rPr>
        <w:t xml:space="preserve"> em </w:t>
      </w:r>
      <w:r w:rsidR="00100104">
        <w:rPr>
          <w:rFonts w:ascii="Times New Roman" w:hAnsi="Times New Roman" w:cs="Times New Roman"/>
        </w:rPr>
        <w:t>ativos e passivo</w:t>
      </w:r>
      <w:r w:rsidR="001434D8">
        <w:rPr>
          <w:rFonts w:ascii="Times New Roman" w:hAnsi="Times New Roman" w:cs="Times New Roman"/>
        </w:rPr>
        <w:t>s</w:t>
      </w:r>
      <w:r w:rsidR="00100104">
        <w:rPr>
          <w:rFonts w:ascii="Times New Roman" w:hAnsi="Times New Roman" w:cs="Times New Roman"/>
        </w:rPr>
        <w:t xml:space="preserve"> de controlada</w:t>
      </w:r>
      <w:r w:rsidR="00274BB7">
        <w:rPr>
          <w:rFonts w:ascii="Times New Roman" w:hAnsi="Times New Roman" w:cs="Times New Roman"/>
        </w:rPr>
        <w:t>s</w:t>
      </w:r>
      <w:r w:rsidR="00100104">
        <w:rPr>
          <w:rFonts w:ascii="Times New Roman" w:hAnsi="Times New Roman" w:cs="Times New Roman"/>
        </w:rPr>
        <w:t>;</w:t>
      </w:r>
      <w:r w:rsidR="00B25BD3">
        <w:rPr>
          <w:rFonts w:ascii="Times New Roman" w:hAnsi="Times New Roman" w:cs="Times New Roman"/>
        </w:rPr>
        <w:t xml:space="preserve"> e</w:t>
      </w:r>
      <w:r w:rsidR="00850BD3">
        <w:rPr>
          <w:rFonts w:ascii="Times New Roman" w:hAnsi="Times New Roman" w:cs="Times New Roman"/>
        </w:rPr>
        <w:t xml:space="preserve"> (p) </w:t>
      </w:r>
      <w:r w:rsidR="00B25BD3">
        <w:rPr>
          <w:rFonts w:ascii="Times New Roman" w:hAnsi="Times New Roman" w:cs="Times New Roman"/>
        </w:rPr>
        <w:t>outr</w:t>
      </w:r>
      <w:r w:rsidR="0025547D">
        <w:rPr>
          <w:rFonts w:ascii="Times New Roman" w:hAnsi="Times New Roman" w:cs="Times New Roman"/>
        </w:rPr>
        <w:t xml:space="preserve">os métodos ou critérios contábeis </w:t>
      </w:r>
      <w:r w:rsidR="00FE4113">
        <w:rPr>
          <w:rFonts w:ascii="Times New Roman" w:hAnsi="Times New Roman" w:cs="Times New Roman"/>
        </w:rPr>
        <w:t>posteriores à publicação da Lei nº 12.973</w:t>
      </w:r>
      <w:r w:rsidR="00813FDE">
        <w:rPr>
          <w:rFonts w:ascii="Times New Roman" w:hAnsi="Times New Roman" w:cs="Times New Roman"/>
        </w:rPr>
        <w:t>/</w:t>
      </w:r>
      <w:r w:rsidR="00FE4113">
        <w:rPr>
          <w:rFonts w:ascii="Times New Roman" w:hAnsi="Times New Roman" w:cs="Times New Roman"/>
        </w:rPr>
        <w:t xml:space="preserve">2014, </w:t>
      </w:r>
      <w:r w:rsidR="0025547D">
        <w:rPr>
          <w:rFonts w:ascii="Times New Roman" w:hAnsi="Times New Roman" w:cs="Times New Roman"/>
        </w:rPr>
        <w:t xml:space="preserve">de acordo com </w:t>
      </w:r>
      <w:r w:rsidR="001434D8">
        <w:rPr>
          <w:rFonts w:ascii="Times New Roman" w:hAnsi="Times New Roman" w:cs="Times New Roman"/>
        </w:rPr>
        <w:t>a regra</w:t>
      </w:r>
      <w:r w:rsidR="0025547D">
        <w:rPr>
          <w:rFonts w:ascii="Times New Roman" w:hAnsi="Times New Roman" w:cs="Times New Roman"/>
        </w:rPr>
        <w:t xml:space="preserve"> previst</w:t>
      </w:r>
      <w:r w:rsidR="001434D8">
        <w:rPr>
          <w:rFonts w:ascii="Times New Roman" w:hAnsi="Times New Roman" w:cs="Times New Roman"/>
        </w:rPr>
        <w:t>a</w:t>
      </w:r>
      <w:r w:rsidR="0025547D">
        <w:rPr>
          <w:rFonts w:ascii="Times New Roman" w:hAnsi="Times New Roman" w:cs="Times New Roman"/>
        </w:rPr>
        <w:t xml:space="preserve"> </w:t>
      </w:r>
      <w:r w:rsidR="00FE4113">
        <w:rPr>
          <w:rFonts w:ascii="Times New Roman" w:hAnsi="Times New Roman" w:cs="Times New Roman"/>
        </w:rPr>
        <w:t>em seu</w:t>
      </w:r>
      <w:r w:rsidR="0025547D">
        <w:rPr>
          <w:rFonts w:ascii="Times New Roman" w:hAnsi="Times New Roman" w:cs="Times New Roman"/>
        </w:rPr>
        <w:t xml:space="preserve"> art. 58 </w:t>
      </w:r>
      <w:r>
        <w:rPr>
          <w:rFonts w:ascii="Times New Roman" w:hAnsi="Times New Roman" w:cs="Times New Roman"/>
        </w:rPr>
        <w:t>(SILVA; SANTOS; KOGA; BARBOSA, 2014).</w:t>
      </w:r>
      <w:r w:rsidR="00631AC4">
        <w:rPr>
          <w:rFonts w:ascii="Times New Roman" w:hAnsi="Times New Roman" w:cs="Times New Roman"/>
        </w:rPr>
        <w:t xml:space="preserve"> </w:t>
      </w:r>
      <w:r w:rsidR="002E7AE1">
        <w:rPr>
          <w:rFonts w:ascii="Times New Roman" w:hAnsi="Times New Roman" w:cs="Times New Roman"/>
        </w:rPr>
        <w:t>Por outro lado, observ</w:t>
      </w:r>
      <w:r w:rsidR="000A76D6">
        <w:rPr>
          <w:rFonts w:ascii="Times New Roman" w:hAnsi="Times New Roman" w:cs="Times New Roman"/>
        </w:rPr>
        <w:t>ou</w:t>
      </w:r>
      <w:r w:rsidR="002E7AE1">
        <w:rPr>
          <w:rFonts w:ascii="Times New Roman" w:hAnsi="Times New Roman" w:cs="Times New Roman"/>
        </w:rPr>
        <w:t>-se que a</w:t>
      </w:r>
      <w:r w:rsidR="00631AC4">
        <w:rPr>
          <w:rFonts w:ascii="Times New Roman" w:hAnsi="Times New Roman" w:cs="Times New Roman"/>
        </w:rPr>
        <w:t>s diferenças permanente</w:t>
      </w:r>
      <w:r w:rsidR="002E7AE1">
        <w:rPr>
          <w:rFonts w:ascii="Times New Roman" w:hAnsi="Times New Roman" w:cs="Times New Roman"/>
        </w:rPr>
        <w:t>s</w:t>
      </w:r>
      <w:r w:rsidR="00631AC4">
        <w:rPr>
          <w:rFonts w:ascii="Times New Roman" w:hAnsi="Times New Roman" w:cs="Times New Roman"/>
        </w:rPr>
        <w:t xml:space="preserve"> criadas pela Lei nº 12.973</w:t>
      </w:r>
      <w:r w:rsidR="00813FDE">
        <w:rPr>
          <w:rFonts w:ascii="Times New Roman" w:hAnsi="Times New Roman" w:cs="Times New Roman"/>
        </w:rPr>
        <w:t>/</w:t>
      </w:r>
      <w:r w:rsidR="00631AC4">
        <w:rPr>
          <w:rFonts w:ascii="Times New Roman" w:hAnsi="Times New Roman" w:cs="Times New Roman"/>
        </w:rPr>
        <w:t xml:space="preserve">2014 foram poucas e específicas, a exemplo das variações cambiais dos </w:t>
      </w:r>
      <w:r w:rsidR="002E064A">
        <w:rPr>
          <w:rFonts w:ascii="Times New Roman" w:hAnsi="Times New Roman" w:cs="Times New Roman"/>
        </w:rPr>
        <w:t xml:space="preserve">saldos a apropriar dos </w:t>
      </w:r>
      <w:r w:rsidR="00631AC4">
        <w:rPr>
          <w:rFonts w:ascii="Times New Roman" w:hAnsi="Times New Roman" w:cs="Times New Roman"/>
        </w:rPr>
        <w:t xml:space="preserve">ajustes a valor presente ou das despesas </w:t>
      </w:r>
      <w:r w:rsidR="002E7AE1">
        <w:rPr>
          <w:rFonts w:ascii="Times New Roman" w:hAnsi="Times New Roman" w:cs="Times New Roman"/>
        </w:rPr>
        <w:t xml:space="preserve">incorridas </w:t>
      </w:r>
      <w:r w:rsidR="00631AC4">
        <w:rPr>
          <w:rFonts w:ascii="Times New Roman" w:hAnsi="Times New Roman" w:cs="Times New Roman"/>
        </w:rPr>
        <w:t>na emissão de ações.</w:t>
      </w:r>
      <w:r>
        <w:rPr>
          <w:rFonts w:ascii="Times New Roman" w:hAnsi="Times New Roman" w:cs="Times New Roman"/>
        </w:rPr>
        <w:t xml:space="preserve"> </w:t>
      </w:r>
    </w:p>
    <w:p w14:paraId="1189AFB0" w14:textId="2138CBB6" w:rsidR="00B91715" w:rsidRDefault="00F3780B" w:rsidP="001D0599">
      <w:pPr>
        <w:spacing w:after="120"/>
        <w:ind w:firstLine="709"/>
        <w:jc w:val="both"/>
        <w:rPr>
          <w:rFonts w:ascii="Times New Roman" w:hAnsi="Times New Roman" w:cs="Times New Roman"/>
        </w:rPr>
      </w:pPr>
      <w:r>
        <w:rPr>
          <w:rFonts w:ascii="Times New Roman" w:hAnsi="Times New Roman" w:cs="Times New Roman"/>
        </w:rPr>
        <w:t>Destarte, o</w:t>
      </w:r>
      <w:r w:rsidR="00B91715">
        <w:rPr>
          <w:rFonts w:ascii="Times New Roman" w:hAnsi="Times New Roman" w:cs="Times New Roman"/>
        </w:rPr>
        <w:t>s ajustes fiscais criados pela Lei nº 12.973</w:t>
      </w:r>
      <w:r w:rsidR="00813FDE">
        <w:rPr>
          <w:rFonts w:ascii="Times New Roman" w:hAnsi="Times New Roman" w:cs="Times New Roman"/>
        </w:rPr>
        <w:t>/</w:t>
      </w:r>
      <w:r w:rsidR="00B91715">
        <w:rPr>
          <w:rFonts w:ascii="Times New Roman" w:hAnsi="Times New Roman" w:cs="Times New Roman"/>
        </w:rPr>
        <w:t xml:space="preserve">2014 </w:t>
      </w:r>
      <w:r w:rsidR="002E7AE1">
        <w:rPr>
          <w:rFonts w:ascii="Times New Roman" w:hAnsi="Times New Roman" w:cs="Times New Roman"/>
        </w:rPr>
        <w:t xml:space="preserve">alteraram a legislação do IRPJ e da CSLL </w:t>
      </w:r>
      <w:r w:rsidR="0025547D">
        <w:rPr>
          <w:rFonts w:ascii="Times New Roman" w:hAnsi="Times New Roman" w:cs="Times New Roman"/>
        </w:rPr>
        <w:t xml:space="preserve">por meio </w:t>
      </w:r>
      <w:r w:rsidR="002E7AE1">
        <w:rPr>
          <w:rFonts w:ascii="Times New Roman" w:hAnsi="Times New Roman" w:cs="Times New Roman"/>
        </w:rPr>
        <w:t>de uma significativa ampliação d</w:t>
      </w:r>
      <w:r w:rsidR="00B91715">
        <w:rPr>
          <w:rFonts w:ascii="Times New Roman" w:hAnsi="Times New Roman" w:cs="Times New Roman"/>
        </w:rPr>
        <w:t>o rol d</w:t>
      </w:r>
      <w:r w:rsidR="0025547D">
        <w:rPr>
          <w:rFonts w:ascii="Times New Roman" w:hAnsi="Times New Roman" w:cs="Times New Roman"/>
        </w:rPr>
        <w:t>as</w:t>
      </w:r>
      <w:r w:rsidR="00B91715">
        <w:rPr>
          <w:rFonts w:ascii="Times New Roman" w:hAnsi="Times New Roman" w:cs="Times New Roman"/>
        </w:rPr>
        <w:t xml:space="preserve"> diferenças temporárias existentes entre os lucros contábil e tributário, reconhecidas </w:t>
      </w:r>
      <w:r w:rsidR="002E7AE1">
        <w:rPr>
          <w:rFonts w:ascii="Times New Roman" w:hAnsi="Times New Roman" w:cs="Times New Roman"/>
        </w:rPr>
        <w:t xml:space="preserve">na escrituração </w:t>
      </w:r>
      <w:r w:rsidR="00274BB7">
        <w:rPr>
          <w:rFonts w:ascii="Times New Roman" w:hAnsi="Times New Roman" w:cs="Times New Roman"/>
        </w:rPr>
        <w:t>como</w:t>
      </w:r>
      <w:r w:rsidR="00B91715">
        <w:rPr>
          <w:rFonts w:ascii="Times New Roman" w:hAnsi="Times New Roman" w:cs="Times New Roman"/>
        </w:rPr>
        <w:t xml:space="preserve"> ativos ou passivos fiscais </w:t>
      </w:r>
      <w:r w:rsidR="00891C84">
        <w:rPr>
          <w:rFonts w:ascii="Times New Roman" w:hAnsi="Times New Roman" w:cs="Times New Roman"/>
        </w:rPr>
        <w:t xml:space="preserve">diferidos </w:t>
      </w:r>
      <w:r w:rsidR="00B91715">
        <w:rPr>
          <w:rFonts w:ascii="Times New Roman" w:hAnsi="Times New Roman" w:cs="Times New Roman"/>
        </w:rPr>
        <w:t>(</w:t>
      </w:r>
      <w:r w:rsidR="0026342C">
        <w:rPr>
          <w:rFonts w:ascii="Times New Roman" w:hAnsi="Times New Roman" w:cs="Times New Roman"/>
        </w:rPr>
        <w:t>CPC</w:t>
      </w:r>
      <w:r w:rsidR="00B91715">
        <w:rPr>
          <w:rFonts w:ascii="Times New Roman" w:hAnsi="Times New Roman" w:cs="Times New Roman"/>
        </w:rPr>
        <w:t>, 2009). Essas diferenças temporárias ocorrem em razão do período em que são reconhecidas as receitas ou despesas para fins da apuração dos resultados contábil e tributário, ou ainda das distintas bases de mensuração utilizadas na contabilidade e na apuração dos tributos</w:t>
      </w:r>
      <w:r w:rsidR="00B91715" w:rsidRPr="00E35C2C">
        <w:rPr>
          <w:rFonts w:ascii="Times New Roman" w:hAnsi="Times New Roman" w:cs="Times New Roman"/>
        </w:rPr>
        <w:t xml:space="preserve"> </w:t>
      </w:r>
      <w:r w:rsidR="00B91715">
        <w:rPr>
          <w:rFonts w:ascii="Times New Roman" w:hAnsi="Times New Roman" w:cs="Times New Roman"/>
        </w:rPr>
        <w:t>(</w:t>
      </w:r>
      <w:r w:rsidR="00B91715" w:rsidRPr="00E35C2C">
        <w:rPr>
          <w:rFonts w:ascii="Times New Roman" w:hAnsi="Times New Roman" w:cs="Times New Roman"/>
          <w:caps/>
          <w:kern w:val="24"/>
        </w:rPr>
        <w:t>Hendrikssen</w:t>
      </w:r>
      <w:r w:rsidR="00B91715">
        <w:rPr>
          <w:rFonts w:ascii="Times New Roman" w:hAnsi="Times New Roman" w:cs="Times New Roman"/>
          <w:caps/>
          <w:kern w:val="24"/>
        </w:rPr>
        <w:t>;</w:t>
      </w:r>
      <w:r w:rsidR="00B91715" w:rsidRPr="00E35C2C">
        <w:rPr>
          <w:rFonts w:ascii="Times New Roman" w:hAnsi="Times New Roman" w:cs="Times New Roman"/>
          <w:caps/>
          <w:kern w:val="24"/>
        </w:rPr>
        <w:t xml:space="preserve"> Breda</w:t>
      </w:r>
      <w:r w:rsidR="00B91715">
        <w:rPr>
          <w:rFonts w:ascii="Times New Roman" w:hAnsi="Times New Roman" w:cs="Times New Roman"/>
        </w:rPr>
        <w:t>, 2010).</w:t>
      </w:r>
      <w:r w:rsidR="00B91715" w:rsidRPr="00BA3E9D">
        <w:rPr>
          <w:rFonts w:ascii="Times New Roman" w:hAnsi="Times New Roman" w:cs="Times New Roman"/>
        </w:rPr>
        <w:t xml:space="preserve"> </w:t>
      </w:r>
    </w:p>
    <w:p w14:paraId="1D698F69" w14:textId="2DC70726" w:rsidR="000E6F64" w:rsidRDefault="00317960" w:rsidP="001D0599">
      <w:pPr>
        <w:spacing w:after="120"/>
        <w:ind w:firstLine="709"/>
        <w:jc w:val="both"/>
        <w:rPr>
          <w:rFonts w:ascii="Times New Roman" w:hAnsi="Times New Roman" w:cs="Times New Roman"/>
        </w:rPr>
      </w:pPr>
      <w:r>
        <w:rPr>
          <w:rFonts w:ascii="Times New Roman" w:hAnsi="Times New Roman" w:cs="Times New Roman"/>
        </w:rPr>
        <w:t>Por definição, as ETR variam de acordo com as alterações n</w:t>
      </w:r>
      <w:r w:rsidR="002639E4">
        <w:rPr>
          <w:rFonts w:ascii="Times New Roman" w:hAnsi="Times New Roman" w:cs="Times New Roman"/>
        </w:rPr>
        <w:t>os montantes das</w:t>
      </w:r>
      <w:r>
        <w:rPr>
          <w:rFonts w:ascii="Times New Roman" w:hAnsi="Times New Roman" w:cs="Times New Roman"/>
        </w:rPr>
        <w:t xml:space="preserve"> provisões </w:t>
      </w:r>
      <w:r w:rsidR="00366F95">
        <w:rPr>
          <w:rFonts w:ascii="Times New Roman" w:hAnsi="Times New Roman" w:cs="Times New Roman"/>
        </w:rPr>
        <w:t xml:space="preserve">correntes ou totais </w:t>
      </w:r>
      <w:r>
        <w:rPr>
          <w:rFonts w:ascii="Times New Roman" w:hAnsi="Times New Roman" w:cs="Times New Roman"/>
        </w:rPr>
        <w:t>para o IRPJ e a CSLL (numerador) e no lucro antes dos tributos (LAIR)</w:t>
      </w:r>
      <w:r w:rsidR="009A54A1">
        <w:rPr>
          <w:rFonts w:ascii="Times New Roman" w:hAnsi="Times New Roman" w:cs="Times New Roman"/>
        </w:rPr>
        <w:t xml:space="preserve"> (de</w:t>
      </w:r>
      <w:r>
        <w:rPr>
          <w:rFonts w:ascii="Times New Roman" w:hAnsi="Times New Roman" w:cs="Times New Roman"/>
        </w:rPr>
        <w:t xml:space="preserve">nominador), </w:t>
      </w:r>
      <w:r w:rsidR="002639E4">
        <w:rPr>
          <w:rFonts w:ascii="Times New Roman" w:hAnsi="Times New Roman" w:cs="Times New Roman"/>
        </w:rPr>
        <w:t xml:space="preserve">ocorridas </w:t>
      </w:r>
      <w:r>
        <w:rPr>
          <w:rFonts w:ascii="Times New Roman" w:hAnsi="Times New Roman" w:cs="Times New Roman"/>
        </w:rPr>
        <w:t>durante o período de aferição da carga tributária. Nesse sentido, é importante ressaltar que a</w:t>
      </w:r>
      <w:r w:rsidR="00E03C1D">
        <w:rPr>
          <w:rFonts w:ascii="Times New Roman" w:hAnsi="Times New Roman" w:cs="Times New Roman"/>
        </w:rPr>
        <w:t xml:space="preserve"> maioria dos</w:t>
      </w:r>
      <w:r w:rsidR="007822FA">
        <w:rPr>
          <w:rFonts w:ascii="Times New Roman" w:hAnsi="Times New Roman" w:cs="Times New Roman"/>
        </w:rPr>
        <w:t xml:space="preserve"> </w:t>
      </w:r>
      <w:r w:rsidR="00061CA9">
        <w:rPr>
          <w:rFonts w:ascii="Times New Roman" w:hAnsi="Times New Roman" w:cs="Times New Roman"/>
        </w:rPr>
        <w:t>n</w:t>
      </w:r>
      <w:r w:rsidR="003067CD">
        <w:rPr>
          <w:rFonts w:ascii="Times New Roman" w:hAnsi="Times New Roman" w:cs="Times New Roman"/>
        </w:rPr>
        <w:t xml:space="preserve">ovos </w:t>
      </w:r>
      <w:r w:rsidR="00E03C1D">
        <w:rPr>
          <w:rFonts w:ascii="Times New Roman" w:hAnsi="Times New Roman" w:cs="Times New Roman"/>
        </w:rPr>
        <w:t xml:space="preserve">métodos </w:t>
      </w:r>
      <w:r w:rsidR="004D44D7">
        <w:rPr>
          <w:rFonts w:ascii="Times New Roman" w:hAnsi="Times New Roman" w:cs="Times New Roman"/>
        </w:rPr>
        <w:t>ou</w:t>
      </w:r>
      <w:r w:rsidR="00E03C1D">
        <w:rPr>
          <w:rFonts w:ascii="Times New Roman" w:hAnsi="Times New Roman" w:cs="Times New Roman"/>
        </w:rPr>
        <w:t xml:space="preserve"> critérios </w:t>
      </w:r>
      <w:r w:rsidR="00061CA9">
        <w:rPr>
          <w:rFonts w:ascii="Times New Roman" w:hAnsi="Times New Roman" w:cs="Times New Roman"/>
        </w:rPr>
        <w:t xml:space="preserve">contábeis </w:t>
      </w:r>
      <w:r w:rsidR="00E03C1D">
        <w:rPr>
          <w:rFonts w:ascii="Times New Roman" w:hAnsi="Times New Roman" w:cs="Times New Roman"/>
        </w:rPr>
        <w:t xml:space="preserve">neutralizados </w:t>
      </w:r>
      <w:r w:rsidR="007822FA">
        <w:rPr>
          <w:rFonts w:ascii="Times New Roman" w:hAnsi="Times New Roman" w:cs="Times New Roman"/>
        </w:rPr>
        <w:t>pela Lei nº 12.973</w:t>
      </w:r>
      <w:r w:rsidR="009B6610">
        <w:rPr>
          <w:rFonts w:ascii="Times New Roman" w:hAnsi="Times New Roman" w:cs="Times New Roman"/>
        </w:rPr>
        <w:t>/</w:t>
      </w:r>
      <w:r w:rsidR="007822FA">
        <w:rPr>
          <w:rFonts w:ascii="Times New Roman" w:hAnsi="Times New Roman" w:cs="Times New Roman"/>
        </w:rPr>
        <w:t xml:space="preserve">2014 </w:t>
      </w:r>
      <w:r w:rsidR="00C1402E">
        <w:rPr>
          <w:rFonts w:ascii="Times New Roman" w:hAnsi="Times New Roman" w:cs="Times New Roman"/>
        </w:rPr>
        <w:t xml:space="preserve">para fins tributários </w:t>
      </w:r>
      <w:r w:rsidR="00E03C1D">
        <w:rPr>
          <w:rFonts w:ascii="Times New Roman" w:hAnsi="Times New Roman" w:cs="Times New Roman"/>
        </w:rPr>
        <w:t>surtem efeito</w:t>
      </w:r>
      <w:r w:rsidR="00F3780B">
        <w:rPr>
          <w:rFonts w:ascii="Times New Roman" w:hAnsi="Times New Roman" w:cs="Times New Roman"/>
        </w:rPr>
        <w:t>s tanto</w:t>
      </w:r>
      <w:r w:rsidR="00061CA9">
        <w:rPr>
          <w:rFonts w:ascii="Times New Roman" w:hAnsi="Times New Roman" w:cs="Times New Roman"/>
        </w:rPr>
        <w:t xml:space="preserve"> sobre as </w:t>
      </w:r>
      <w:r w:rsidR="00F3780B">
        <w:rPr>
          <w:rFonts w:ascii="Times New Roman" w:hAnsi="Times New Roman" w:cs="Times New Roman"/>
        </w:rPr>
        <w:t>provisões</w:t>
      </w:r>
      <w:r w:rsidR="00061CA9">
        <w:rPr>
          <w:rFonts w:ascii="Times New Roman" w:hAnsi="Times New Roman" w:cs="Times New Roman"/>
        </w:rPr>
        <w:t xml:space="preserve"> </w:t>
      </w:r>
      <w:r w:rsidR="005B1953">
        <w:rPr>
          <w:rFonts w:ascii="Times New Roman" w:hAnsi="Times New Roman" w:cs="Times New Roman"/>
        </w:rPr>
        <w:t>correntes</w:t>
      </w:r>
      <w:r w:rsidR="00F3780B">
        <w:rPr>
          <w:rFonts w:ascii="Times New Roman" w:hAnsi="Times New Roman" w:cs="Times New Roman"/>
        </w:rPr>
        <w:t xml:space="preserve"> e diferidas</w:t>
      </w:r>
      <w:r w:rsidR="002639E4">
        <w:rPr>
          <w:rFonts w:ascii="Times New Roman" w:hAnsi="Times New Roman" w:cs="Times New Roman"/>
        </w:rPr>
        <w:t xml:space="preserve">, </w:t>
      </w:r>
      <w:r w:rsidR="00061CA9">
        <w:rPr>
          <w:rFonts w:ascii="Times New Roman" w:hAnsi="Times New Roman" w:cs="Times New Roman"/>
        </w:rPr>
        <w:t>quanto sobre o LAIR</w:t>
      </w:r>
      <w:r w:rsidR="00E03C1D">
        <w:rPr>
          <w:rFonts w:ascii="Times New Roman" w:hAnsi="Times New Roman" w:cs="Times New Roman"/>
        </w:rPr>
        <w:t xml:space="preserve">. </w:t>
      </w:r>
    </w:p>
    <w:p w14:paraId="5F61DFDE" w14:textId="30765C93" w:rsidR="00212A2B" w:rsidRDefault="00366F95" w:rsidP="001D0599">
      <w:pPr>
        <w:spacing w:after="120"/>
        <w:ind w:firstLine="709"/>
        <w:jc w:val="both"/>
        <w:rPr>
          <w:rFonts w:ascii="Times New Roman" w:hAnsi="Times New Roman" w:cs="Times New Roman"/>
        </w:rPr>
      </w:pPr>
      <w:r>
        <w:rPr>
          <w:rFonts w:ascii="Times New Roman" w:hAnsi="Times New Roman" w:cs="Times New Roman"/>
        </w:rPr>
        <w:t>O quadro</w:t>
      </w:r>
      <w:r w:rsidR="00212A2B">
        <w:rPr>
          <w:rFonts w:ascii="Times New Roman" w:hAnsi="Times New Roman" w:cs="Times New Roman"/>
        </w:rPr>
        <w:t xml:space="preserve"> abaixo </w:t>
      </w:r>
      <w:r w:rsidR="00C1402E">
        <w:rPr>
          <w:rFonts w:ascii="Times New Roman" w:hAnsi="Times New Roman" w:cs="Times New Roman"/>
        </w:rPr>
        <w:t>indica</w:t>
      </w:r>
      <w:r>
        <w:rPr>
          <w:rFonts w:ascii="Times New Roman" w:hAnsi="Times New Roman" w:cs="Times New Roman"/>
        </w:rPr>
        <w:t xml:space="preserve"> os principais fatos contábeis </w:t>
      </w:r>
      <w:r w:rsidR="001D0599">
        <w:rPr>
          <w:rFonts w:ascii="Times New Roman" w:hAnsi="Times New Roman" w:cs="Times New Roman"/>
        </w:rPr>
        <w:t xml:space="preserve">que são </w:t>
      </w:r>
      <w:r>
        <w:rPr>
          <w:rFonts w:ascii="Times New Roman" w:hAnsi="Times New Roman" w:cs="Times New Roman"/>
        </w:rPr>
        <w:t xml:space="preserve">causadores de diferenças temporárias ou permanentes </w:t>
      </w:r>
      <w:r w:rsidR="000F4C71">
        <w:rPr>
          <w:rFonts w:ascii="Times New Roman" w:hAnsi="Times New Roman" w:cs="Times New Roman"/>
        </w:rPr>
        <w:t>no</w:t>
      </w:r>
      <w:r>
        <w:rPr>
          <w:rFonts w:ascii="Times New Roman" w:hAnsi="Times New Roman" w:cs="Times New Roman"/>
        </w:rPr>
        <w:t xml:space="preserve"> IRPJ e </w:t>
      </w:r>
      <w:r w:rsidR="000F4C71">
        <w:rPr>
          <w:rFonts w:ascii="Times New Roman" w:hAnsi="Times New Roman" w:cs="Times New Roman"/>
        </w:rPr>
        <w:t>n</w:t>
      </w:r>
      <w:r>
        <w:rPr>
          <w:rFonts w:ascii="Times New Roman" w:hAnsi="Times New Roman" w:cs="Times New Roman"/>
        </w:rPr>
        <w:t>a CSLL</w:t>
      </w:r>
      <w:r w:rsidR="000F4C71">
        <w:rPr>
          <w:rFonts w:ascii="Times New Roman" w:hAnsi="Times New Roman" w:cs="Times New Roman"/>
        </w:rPr>
        <w:t xml:space="preserve"> e</w:t>
      </w:r>
      <w:r>
        <w:rPr>
          <w:rFonts w:ascii="Times New Roman" w:hAnsi="Times New Roman" w:cs="Times New Roman"/>
        </w:rPr>
        <w:t xml:space="preserve"> os </w:t>
      </w:r>
      <w:r w:rsidR="000F4C71">
        <w:rPr>
          <w:rFonts w:ascii="Times New Roman" w:hAnsi="Times New Roman" w:cs="Times New Roman"/>
        </w:rPr>
        <w:t xml:space="preserve">seus </w:t>
      </w:r>
      <w:r>
        <w:rPr>
          <w:rFonts w:ascii="Times New Roman" w:hAnsi="Times New Roman" w:cs="Times New Roman"/>
        </w:rPr>
        <w:t xml:space="preserve">efeitos </w:t>
      </w:r>
      <w:r w:rsidR="00212A2B">
        <w:rPr>
          <w:rFonts w:ascii="Times New Roman" w:hAnsi="Times New Roman" w:cs="Times New Roman"/>
        </w:rPr>
        <w:t xml:space="preserve">as ETR corrente e total </w:t>
      </w:r>
      <w:r w:rsidR="00636C4A">
        <w:rPr>
          <w:rFonts w:ascii="Times New Roman" w:hAnsi="Times New Roman" w:cs="Times New Roman"/>
        </w:rPr>
        <w:t>(</w:t>
      </w:r>
      <w:proofErr w:type="spellStart"/>
      <w:r w:rsidR="00636C4A">
        <w:rPr>
          <w:rFonts w:ascii="Times New Roman" w:hAnsi="Times New Roman" w:cs="Times New Roman"/>
        </w:rPr>
        <w:t>ETRc</w:t>
      </w:r>
      <w:proofErr w:type="spellEnd"/>
      <w:r w:rsidR="00636C4A">
        <w:rPr>
          <w:rFonts w:ascii="Times New Roman" w:hAnsi="Times New Roman" w:cs="Times New Roman"/>
        </w:rPr>
        <w:t xml:space="preserve"> e </w:t>
      </w:r>
      <w:proofErr w:type="spellStart"/>
      <w:r w:rsidR="00636C4A">
        <w:rPr>
          <w:rFonts w:ascii="Times New Roman" w:hAnsi="Times New Roman" w:cs="Times New Roman"/>
        </w:rPr>
        <w:t>ETRt</w:t>
      </w:r>
      <w:proofErr w:type="spellEnd"/>
      <w:r w:rsidR="00636C4A">
        <w:rPr>
          <w:rFonts w:ascii="Times New Roman" w:hAnsi="Times New Roman" w:cs="Times New Roman"/>
        </w:rPr>
        <w:t>)</w:t>
      </w:r>
      <w:r>
        <w:rPr>
          <w:rFonts w:ascii="Times New Roman" w:hAnsi="Times New Roman" w:cs="Times New Roman"/>
        </w:rPr>
        <w:t xml:space="preserve">. Tais conclusões foram obtidas </w:t>
      </w:r>
      <w:r w:rsidR="00B91715">
        <w:rPr>
          <w:rFonts w:ascii="Times New Roman" w:hAnsi="Times New Roman" w:cs="Times New Roman"/>
        </w:rPr>
        <w:t xml:space="preserve">em </w:t>
      </w:r>
      <w:r w:rsidR="0025547D">
        <w:rPr>
          <w:rFonts w:ascii="Times New Roman" w:hAnsi="Times New Roman" w:cs="Times New Roman"/>
        </w:rPr>
        <w:t xml:space="preserve">conformidade com </w:t>
      </w:r>
      <w:r w:rsidR="001D0599">
        <w:rPr>
          <w:rFonts w:ascii="Times New Roman" w:hAnsi="Times New Roman" w:cs="Times New Roman"/>
        </w:rPr>
        <w:t xml:space="preserve">o </w:t>
      </w:r>
      <w:r>
        <w:rPr>
          <w:rFonts w:ascii="Times New Roman" w:hAnsi="Times New Roman" w:cs="Times New Roman"/>
        </w:rPr>
        <w:t xml:space="preserve">Pronunciamento Técnico </w:t>
      </w:r>
      <w:r w:rsidR="00901B51">
        <w:rPr>
          <w:rFonts w:ascii="Times New Roman" w:hAnsi="Times New Roman" w:cs="Times New Roman"/>
        </w:rPr>
        <w:t>CPC 32</w:t>
      </w:r>
      <w:r>
        <w:rPr>
          <w:rFonts w:ascii="Times New Roman" w:hAnsi="Times New Roman" w:cs="Times New Roman"/>
        </w:rPr>
        <w:t xml:space="preserve"> de </w:t>
      </w:r>
      <w:r w:rsidR="00B91715">
        <w:rPr>
          <w:rFonts w:ascii="Times New Roman" w:hAnsi="Times New Roman" w:cs="Times New Roman"/>
        </w:rPr>
        <w:t>2009</w:t>
      </w:r>
      <w:r w:rsidR="00E31E81">
        <w:rPr>
          <w:rFonts w:ascii="Times New Roman" w:hAnsi="Times New Roman" w:cs="Times New Roman"/>
        </w:rPr>
        <w:t xml:space="preserve">, </w:t>
      </w:r>
      <w:r w:rsidR="001D0599">
        <w:rPr>
          <w:rFonts w:ascii="Times New Roman" w:hAnsi="Times New Roman" w:cs="Times New Roman"/>
        </w:rPr>
        <w:t>a</w:t>
      </w:r>
      <w:r w:rsidR="00B91715">
        <w:rPr>
          <w:rFonts w:ascii="Times New Roman" w:hAnsi="Times New Roman" w:cs="Times New Roman"/>
        </w:rPr>
        <w:t xml:space="preserve"> </w:t>
      </w:r>
      <w:r w:rsidR="00901B51">
        <w:rPr>
          <w:rFonts w:ascii="Times New Roman" w:hAnsi="Times New Roman" w:cs="Times New Roman"/>
        </w:rPr>
        <w:t>legislação tributária</w:t>
      </w:r>
      <w:r w:rsidR="001434D8">
        <w:rPr>
          <w:rFonts w:ascii="Times New Roman" w:hAnsi="Times New Roman" w:cs="Times New Roman"/>
        </w:rPr>
        <w:t xml:space="preserve"> (Decreto</w:t>
      </w:r>
      <w:r w:rsidR="00B10882">
        <w:rPr>
          <w:rFonts w:ascii="Times New Roman" w:hAnsi="Times New Roman" w:cs="Times New Roman"/>
        </w:rPr>
        <w:t xml:space="preserve"> nº 3.000, de 26 de março de 1999, Decreto </w:t>
      </w:r>
      <w:r w:rsidR="001434D8">
        <w:rPr>
          <w:rFonts w:ascii="Times New Roman" w:hAnsi="Times New Roman" w:cs="Times New Roman"/>
        </w:rPr>
        <w:t>nº 9.580</w:t>
      </w:r>
      <w:r w:rsidR="00B10882">
        <w:rPr>
          <w:rFonts w:ascii="Times New Roman" w:hAnsi="Times New Roman" w:cs="Times New Roman"/>
        </w:rPr>
        <w:t>, de 22 de novembro</w:t>
      </w:r>
      <w:r w:rsidR="001434D8">
        <w:rPr>
          <w:rFonts w:ascii="Times New Roman" w:hAnsi="Times New Roman" w:cs="Times New Roman"/>
        </w:rPr>
        <w:t xml:space="preserve"> de 2018</w:t>
      </w:r>
      <w:r w:rsidR="00B10882">
        <w:rPr>
          <w:rFonts w:ascii="Times New Roman" w:hAnsi="Times New Roman" w:cs="Times New Roman"/>
        </w:rPr>
        <w:t xml:space="preserve"> e Instrução Normativa RFB nº 1.700</w:t>
      </w:r>
      <w:r w:rsidR="0065505F">
        <w:rPr>
          <w:rFonts w:ascii="Times New Roman" w:hAnsi="Times New Roman" w:cs="Times New Roman"/>
        </w:rPr>
        <w:t>/</w:t>
      </w:r>
      <w:r w:rsidR="00B10882">
        <w:rPr>
          <w:rFonts w:ascii="Times New Roman" w:hAnsi="Times New Roman" w:cs="Times New Roman"/>
        </w:rPr>
        <w:t>2017</w:t>
      </w:r>
      <w:r w:rsidR="00E31E81">
        <w:rPr>
          <w:rFonts w:ascii="Times New Roman" w:hAnsi="Times New Roman" w:cs="Times New Roman"/>
        </w:rPr>
        <w:t xml:space="preserve">) e </w:t>
      </w:r>
      <w:r w:rsidR="00AE24E0">
        <w:rPr>
          <w:rFonts w:ascii="Times New Roman" w:hAnsi="Times New Roman" w:cs="Times New Roman"/>
        </w:rPr>
        <w:t>Santos (2015)</w:t>
      </w:r>
      <w:r w:rsidR="00212A2B">
        <w:rPr>
          <w:rFonts w:ascii="Times New Roman" w:hAnsi="Times New Roman" w:cs="Times New Roman"/>
        </w:rPr>
        <w:t>:</w:t>
      </w:r>
    </w:p>
    <w:p w14:paraId="73A1FF28" w14:textId="2FFC22C2" w:rsidR="0027478F" w:rsidRPr="00BF01FF" w:rsidRDefault="00CB5C9F" w:rsidP="0027478F">
      <w:pPr>
        <w:jc w:val="both"/>
        <w:rPr>
          <w:rFonts w:ascii="Times New Roman" w:hAnsi="Times New Roman" w:cs="Times New Roman"/>
          <w:sz w:val="22"/>
          <w:szCs w:val="22"/>
        </w:rPr>
      </w:pPr>
      <w:r w:rsidRPr="00BF01FF">
        <w:rPr>
          <w:rFonts w:ascii="Times New Roman" w:hAnsi="Times New Roman" w:cs="Times New Roman"/>
          <w:sz w:val="22"/>
          <w:szCs w:val="22"/>
        </w:rPr>
        <w:t>Quadro</w:t>
      </w:r>
      <w:r w:rsidR="0027478F" w:rsidRPr="00BF01FF">
        <w:rPr>
          <w:rFonts w:ascii="Times New Roman" w:hAnsi="Times New Roman" w:cs="Times New Roman"/>
          <w:sz w:val="22"/>
          <w:szCs w:val="22"/>
        </w:rPr>
        <w:t xml:space="preserve"> </w:t>
      </w:r>
      <w:r w:rsidR="00772629" w:rsidRPr="00BF01FF">
        <w:rPr>
          <w:rFonts w:ascii="Times New Roman" w:hAnsi="Times New Roman" w:cs="Times New Roman"/>
          <w:sz w:val="22"/>
          <w:szCs w:val="22"/>
        </w:rPr>
        <w:t>1</w:t>
      </w:r>
      <w:r w:rsidR="0027478F" w:rsidRPr="00BF01FF">
        <w:rPr>
          <w:rFonts w:ascii="Times New Roman" w:hAnsi="Times New Roman" w:cs="Times New Roman"/>
          <w:sz w:val="22"/>
          <w:szCs w:val="22"/>
        </w:rPr>
        <w:t xml:space="preserve"> </w:t>
      </w:r>
      <w:r w:rsidR="0025547D" w:rsidRPr="00BF01FF">
        <w:rPr>
          <w:rFonts w:ascii="Times New Roman" w:hAnsi="Times New Roman" w:cs="Times New Roman"/>
          <w:sz w:val="22"/>
          <w:szCs w:val="22"/>
        </w:rPr>
        <w:t>–</w:t>
      </w:r>
      <w:r w:rsidR="0027478F" w:rsidRPr="00BF01FF">
        <w:rPr>
          <w:rFonts w:ascii="Times New Roman" w:hAnsi="Times New Roman" w:cs="Times New Roman"/>
          <w:sz w:val="22"/>
          <w:szCs w:val="22"/>
        </w:rPr>
        <w:t xml:space="preserve"> </w:t>
      </w:r>
      <w:r w:rsidR="0026547A" w:rsidRPr="00BF01FF">
        <w:rPr>
          <w:rFonts w:ascii="Times New Roman" w:hAnsi="Times New Roman" w:cs="Times New Roman"/>
          <w:sz w:val="22"/>
          <w:szCs w:val="22"/>
        </w:rPr>
        <w:t>Fatos contábeis causadores de d</w:t>
      </w:r>
      <w:r w:rsidR="0025547D" w:rsidRPr="00BF01FF">
        <w:rPr>
          <w:rFonts w:ascii="Times New Roman" w:hAnsi="Times New Roman" w:cs="Times New Roman"/>
          <w:sz w:val="22"/>
          <w:szCs w:val="22"/>
        </w:rPr>
        <w:t>iferenças temporárias</w:t>
      </w:r>
      <w:r w:rsidRPr="00BF01FF">
        <w:rPr>
          <w:rFonts w:ascii="Times New Roman" w:hAnsi="Times New Roman" w:cs="Times New Roman"/>
          <w:sz w:val="22"/>
          <w:szCs w:val="22"/>
        </w:rPr>
        <w:t xml:space="preserve"> ou </w:t>
      </w:r>
      <w:r w:rsidR="0025547D" w:rsidRPr="00BF01FF">
        <w:rPr>
          <w:rFonts w:ascii="Times New Roman" w:hAnsi="Times New Roman" w:cs="Times New Roman"/>
          <w:sz w:val="22"/>
          <w:szCs w:val="22"/>
        </w:rPr>
        <w:t>permanentes</w:t>
      </w:r>
      <w:r w:rsidRPr="00BF01FF">
        <w:rPr>
          <w:rFonts w:ascii="Times New Roman" w:hAnsi="Times New Roman" w:cs="Times New Roman"/>
          <w:sz w:val="22"/>
          <w:szCs w:val="22"/>
        </w:rPr>
        <w:t xml:space="preserve"> no IRPJ e CSLL</w:t>
      </w:r>
      <w:r w:rsidR="0025547D" w:rsidRPr="00BF01FF">
        <w:rPr>
          <w:rFonts w:ascii="Times New Roman" w:hAnsi="Times New Roman" w:cs="Times New Roman"/>
          <w:sz w:val="22"/>
          <w:szCs w:val="22"/>
        </w:rPr>
        <w:t xml:space="preserve"> e seus efeitos sobre </w:t>
      </w:r>
      <w:r w:rsidR="003C46CD" w:rsidRPr="00BF01FF">
        <w:rPr>
          <w:rFonts w:ascii="Times New Roman" w:hAnsi="Times New Roman" w:cs="Times New Roman"/>
          <w:sz w:val="22"/>
          <w:szCs w:val="22"/>
        </w:rPr>
        <w:t>a</w:t>
      </w:r>
      <w:r w:rsidR="0025547D" w:rsidRPr="00BF01FF">
        <w:rPr>
          <w:rFonts w:ascii="Times New Roman" w:hAnsi="Times New Roman" w:cs="Times New Roman"/>
          <w:sz w:val="22"/>
          <w:szCs w:val="22"/>
        </w:rPr>
        <w:t xml:space="preserve">s </w:t>
      </w:r>
      <w:proofErr w:type="spellStart"/>
      <w:r w:rsidR="0025547D" w:rsidRPr="00BF01FF">
        <w:rPr>
          <w:rFonts w:ascii="Times New Roman" w:hAnsi="Times New Roman" w:cs="Times New Roman"/>
          <w:sz w:val="22"/>
          <w:szCs w:val="22"/>
        </w:rPr>
        <w:t>ETRc</w:t>
      </w:r>
      <w:proofErr w:type="spellEnd"/>
      <w:r w:rsidR="0025547D" w:rsidRPr="00BF01FF">
        <w:rPr>
          <w:rFonts w:ascii="Times New Roman" w:hAnsi="Times New Roman" w:cs="Times New Roman"/>
          <w:sz w:val="22"/>
          <w:szCs w:val="22"/>
        </w:rPr>
        <w:t xml:space="preserve"> e </w:t>
      </w:r>
      <w:proofErr w:type="spellStart"/>
      <w:r w:rsidR="0025547D" w:rsidRPr="00BF01FF">
        <w:rPr>
          <w:rFonts w:ascii="Times New Roman" w:hAnsi="Times New Roman" w:cs="Times New Roman"/>
          <w:sz w:val="22"/>
          <w:szCs w:val="22"/>
        </w:rPr>
        <w:t>ETRt</w:t>
      </w:r>
      <w:proofErr w:type="spellEnd"/>
    </w:p>
    <w:tbl>
      <w:tblPr>
        <w:tblW w:w="9067" w:type="dxa"/>
        <w:tblCellMar>
          <w:left w:w="70" w:type="dxa"/>
          <w:right w:w="70" w:type="dxa"/>
        </w:tblCellMar>
        <w:tblLook w:val="04A0" w:firstRow="1" w:lastRow="0" w:firstColumn="1" w:lastColumn="0" w:noHBand="0" w:noVBand="1"/>
      </w:tblPr>
      <w:tblGrid>
        <w:gridCol w:w="1697"/>
        <w:gridCol w:w="1179"/>
        <w:gridCol w:w="1619"/>
        <w:gridCol w:w="1412"/>
        <w:gridCol w:w="1580"/>
        <w:gridCol w:w="1580"/>
      </w:tblGrid>
      <w:tr w:rsidR="00727360" w:rsidRPr="00B41FB4" w14:paraId="238BEBF0" w14:textId="77777777" w:rsidTr="00B32ABD">
        <w:trPr>
          <w:trHeight w:val="872"/>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E29D8F" w14:textId="4BEC0039" w:rsidR="00DD11A7" w:rsidRPr="00B41FB4" w:rsidRDefault="006F6A49" w:rsidP="00DD11A7">
            <w:pPr>
              <w:suppressAutoHyphens w:val="0"/>
              <w:jc w:val="center"/>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Fatos Contábeis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C32BED" w14:textId="77777777" w:rsidR="00DD11A7" w:rsidRPr="00B41FB4" w:rsidRDefault="00DD11A7" w:rsidP="00DD11A7">
            <w:pPr>
              <w:suppressAutoHyphens w:val="0"/>
              <w:jc w:val="center"/>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Tipo de Diferença</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8E6AE" w14:textId="524063F2" w:rsidR="00DD11A7" w:rsidRPr="00B41FB4" w:rsidRDefault="00DD11A7" w:rsidP="00B32ABD">
            <w:pPr>
              <w:suppressAutoHyphens w:val="0"/>
              <w:jc w:val="center"/>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 xml:space="preserve">Tratamento Contábil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69B46" w14:textId="45E6026E" w:rsidR="00DD11A7" w:rsidRPr="00B41FB4" w:rsidRDefault="00DD11A7" w:rsidP="00DD11A7">
            <w:pPr>
              <w:suppressAutoHyphens w:val="0"/>
              <w:jc w:val="center"/>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Tratamento Fiscal</w:t>
            </w:r>
            <w:r w:rsidR="00B32ABD" w:rsidRPr="00B41FB4">
              <w:rPr>
                <w:rFonts w:ascii="Times New Roman" w:eastAsia="Times New Roman" w:hAnsi="Times New Roman" w:cs="Times New Roman"/>
                <w:b/>
                <w:bCs/>
                <w:color w:val="000000"/>
                <w:kern w:val="0"/>
                <w:sz w:val="22"/>
                <w:szCs w:val="22"/>
                <w:lang w:eastAsia="pt-BR" w:bidi="ar-SA"/>
              </w:rPr>
              <w:t xml:space="preserve"> (IRPJ/CSLL)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F7BDC" w14:textId="32CDF498" w:rsidR="00DD11A7" w:rsidRPr="00B41FB4" w:rsidRDefault="00DD11A7" w:rsidP="00DD11A7">
            <w:pPr>
              <w:suppressAutoHyphens w:val="0"/>
              <w:jc w:val="center"/>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 xml:space="preserve">Efeito sobre </w:t>
            </w:r>
            <w:r w:rsidR="003C46CD" w:rsidRPr="00B41FB4">
              <w:rPr>
                <w:rFonts w:ascii="Times New Roman" w:eastAsia="Times New Roman" w:hAnsi="Times New Roman" w:cs="Times New Roman"/>
                <w:b/>
                <w:bCs/>
                <w:color w:val="000000"/>
                <w:kern w:val="0"/>
                <w:sz w:val="22"/>
                <w:szCs w:val="22"/>
                <w:lang w:eastAsia="pt-BR" w:bidi="ar-SA"/>
              </w:rPr>
              <w:t>a</w:t>
            </w:r>
            <w:r w:rsidRPr="00B41FB4">
              <w:rPr>
                <w:rFonts w:ascii="Times New Roman" w:eastAsia="Times New Roman" w:hAnsi="Times New Roman" w:cs="Times New Roman"/>
                <w:b/>
                <w:bCs/>
                <w:color w:val="000000"/>
                <w:kern w:val="0"/>
                <w:sz w:val="22"/>
                <w:szCs w:val="22"/>
                <w:lang w:eastAsia="pt-BR" w:bidi="ar-SA"/>
              </w:rPr>
              <w:t xml:space="preserve"> ETR corrente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6F7FEF" w14:textId="3A720825" w:rsidR="00DD11A7" w:rsidRPr="00B41FB4" w:rsidRDefault="00DD11A7" w:rsidP="00B32ABD">
            <w:pPr>
              <w:suppressAutoHyphens w:val="0"/>
              <w:jc w:val="center"/>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 xml:space="preserve">Efeito sobre </w:t>
            </w:r>
            <w:r w:rsidR="003C46CD" w:rsidRPr="00B41FB4">
              <w:rPr>
                <w:rFonts w:ascii="Times New Roman" w:eastAsia="Times New Roman" w:hAnsi="Times New Roman" w:cs="Times New Roman"/>
                <w:b/>
                <w:bCs/>
                <w:color w:val="000000"/>
                <w:kern w:val="0"/>
                <w:sz w:val="22"/>
                <w:szCs w:val="22"/>
                <w:lang w:eastAsia="pt-BR" w:bidi="ar-SA"/>
              </w:rPr>
              <w:t>a</w:t>
            </w:r>
            <w:r w:rsidRPr="00B41FB4">
              <w:rPr>
                <w:rFonts w:ascii="Times New Roman" w:eastAsia="Times New Roman" w:hAnsi="Times New Roman" w:cs="Times New Roman"/>
                <w:b/>
                <w:bCs/>
                <w:color w:val="000000"/>
                <w:kern w:val="0"/>
                <w:sz w:val="22"/>
                <w:szCs w:val="22"/>
                <w:lang w:eastAsia="pt-BR" w:bidi="ar-SA"/>
              </w:rPr>
              <w:t xml:space="preserve"> ETR total </w:t>
            </w:r>
          </w:p>
        </w:tc>
      </w:tr>
      <w:tr w:rsidR="00727360" w:rsidRPr="00B41FB4" w14:paraId="7502AFA7" w14:textId="77777777" w:rsidTr="00B32ABD">
        <w:trPr>
          <w:trHeight w:val="845"/>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2DF96" w14:textId="77777777" w:rsidR="00DD11A7" w:rsidRPr="00B41FB4" w:rsidRDefault="00DD11A7" w:rsidP="00DD11A7">
            <w:pPr>
              <w:suppressAutoHyphens w:val="0"/>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Receita auferida no período, diferida para fins fiscais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8468D" w14:textId="233EFA76" w:rsidR="00DD11A7" w:rsidRPr="00B41FB4" w:rsidRDefault="00DD11A7" w:rsidP="00DD11A7">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Temporária</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74685" w14:textId="77777777" w:rsidR="00DD11A7" w:rsidRPr="00B41FB4" w:rsidRDefault="00DD11A7" w:rsidP="00DD11A7">
            <w:pPr>
              <w:suppressAutoHyphens w:val="0"/>
              <w:jc w:val="both"/>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Reconhecimento de passivo fiscal diferido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29381B" w14:textId="5515D18F" w:rsidR="00DD11A7" w:rsidRPr="00B41FB4" w:rsidRDefault="00DD11A7" w:rsidP="00DD11A7">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Exclusão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5A2AD7" w14:textId="3A5CFD44" w:rsidR="00DD11A7" w:rsidRPr="00B41FB4" w:rsidRDefault="0017519A" w:rsidP="00DD11A7">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 xml:space="preserve">Pode aumentar ou reduzir a </w:t>
            </w:r>
            <w:proofErr w:type="spellStart"/>
            <w:r w:rsidRPr="00B41FB4">
              <w:rPr>
                <w:rFonts w:ascii="Times New Roman" w:eastAsia="Times New Roman" w:hAnsi="Times New Roman" w:cs="Times New Roman"/>
                <w:color w:val="000000"/>
                <w:kern w:val="0"/>
                <w:sz w:val="22"/>
                <w:szCs w:val="22"/>
                <w:lang w:eastAsia="pt-BR" w:bidi="ar-SA"/>
              </w:rPr>
              <w:t>ETRc</w:t>
            </w:r>
            <w:proofErr w:type="spellEnd"/>
            <w:r w:rsidR="00DD11A7" w:rsidRPr="00B41FB4">
              <w:rPr>
                <w:rFonts w:ascii="Times New Roman" w:eastAsia="Times New Roman" w:hAnsi="Times New Roman" w:cs="Times New Roman"/>
                <w:color w:val="000000"/>
                <w:kern w:val="0"/>
                <w:sz w:val="22"/>
                <w:szCs w:val="22"/>
                <w:lang w:eastAsia="pt-BR" w:bidi="ar-SA"/>
              </w:rPr>
              <w:t xml:space="preserve">. Provoca aumento na provisão para </w:t>
            </w:r>
            <w:r w:rsidR="00DD11A7" w:rsidRPr="00B41FB4">
              <w:rPr>
                <w:rFonts w:ascii="Times New Roman" w:eastAsia="Times New Roman" w:hAnsi="Times New Roman" w:cs="Times New Roman"/>
                <w:color w:val="000000"/>
                <w:kern w:val="0"/>
                <w:sz w:val="22"/>
                <w:szCs w:val="22"/>
                <w:lang w:eastAsia="pt-BR" w:bidi="ar-SA"/>
              </w:rPr>
              <w:lastRenderedPageBreak/>
              <w:t xml:space="preserve">os </w:t>
            </w:r>
            <w:r w:rsidR="00727360" w:rsidRPr="00B41FB4">
              <w:rPr>
                <w:rFonts w:ascii="Times New Roman" w:eastAsia="Times New Roman" w:hAnsi="Times New Roman" w:cs="Times New Roman"/>
                <w:color w:val="000000"/>
                <w:kern w:val="0"/>
                <w:sz w:val="22"/>
                <w:szCs w:val="22"/>
                <w:lang w:eastAsia="pt-BR" w:bidi="ar-SA"/>
              </w:rPr>
              <w:t>t</w:t>
            </w:r>
            <w:r w:rsidR="00DD11A7" w:rsidRPr="00B41FB4">
              <w:rPr>
                <w:rFonts w:ascii="Times New Roman" w:eastAsia="Times New Roman" w:hAnsi="Times New Roman" w:cs="Times New Roman"/>
                <w:color w:val="000000"/>
                <w:kern w:val="0"/>
                <w:sz w:val="22"/>
                <w:szCs w:val="22"/>
                <w:lang w:eastAsia="pt-BR" w:bidi="ar-SA"/>
              </w:rPr>
              <w:t>ributos correntes e no LAIR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A5B6F" w14:textId="1C6CF9FD" w:rsidR="00DD11A7" w:rsidRPr="00B41FB4" w:rsidRDefault="00FE4113" w:rsidP="00DD11A7">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lastRenderedPageBreak/>
              <w:t xml:space="preserve">Pode aumentar ou reduzir </w:t>
            </w:r>
            <w:r w:rsidR="003C46CD" w:rsidRPr="00B41FB4">
              <w:rPr>
                <w:rFonts w:ascii="Times New Roman" w:eastAsia="Times New Roman" w:hAnsi="Times New Roman" w:cs="Times New Roman"/>
                <w:color w:val="000000"/>
                <w:kern w:val="0"/>
                <w:sz w:val="22"/>
                <w:szCs w:val="22"/>
                <w:lang w:eastAsia="pt-BR" w:bidi="ar-SA"/>
              </w:rPr>
              <w:t>a</w:t>
            </w:r>
            <w:r w:rsidRPr="00B41FB4">
              <w:rPr>
                <w:rFonts w:ascii="Times New Roman" w:eastAsia="Times New Roman" w:hAnsi="Times New Roman" w:cs="Times New Roman"/>
                <w:color w:val="000000"/>
                <w:kern w:val="0"/>
                <w:sz w:val="22"/>
                <w:szCs w:val="22"/>
                <w:lang w:eastAsia="pt-BR" w:bidi="ar-SA"/>
              </w:rPr>
              <w:t xml:space="preserve"> </w:t>
            </w:r>
            <w:proofErr w:type="spellStart"/>
            <w:r w:rsidRPr="00B41FB4">
              <w:rPr>
                <w:rFonts w:ascii="Times New Roman" w:eastAsia="Times New Roman" w:hAnsi="Times New Roman" w:cs="Times New Roman"/>
                <w:color w:val="000000"/>
                <w:kern w:val="0"/>
                <w:sz w:val="22"/>
                <w:szCs w:val="22"/>
                <w:lang w:eastAsia="pt-BR" w:bidi="ar-SA"/>
              </w:rPr>
              <w:t>ETRt</w:t>
            </w:r>
            <w:proofErr w:type="spellEnd"/>
            <w:r w:rsidR="00727360" w:rsidRPr="00B41FB4">
              <w:rPr>
                <w:rFonts w:ascii="Times New Roman" w:eastAsia="Times New Roman" w:hAnsi="Times New Roman" w:cs="Times New Roman"/>
                <w:color w:val="000000"/>
                <w:kern w:val="0"/>
                <w:sz w:val="22"/>
                <w:szCs w:val="22"/>
                <w:lang w:eastAsia="pt-BR" w:bidi="ar-SA"/>
              </w:rPr>
              <w:t xml:space="preserve">. Provoca aumento na provisão para </w:t>
            </w:r>
            <w:r w:rsidR="00727360" w:rsidRPr="00B41FB4">
              <w:rPr>
                <w:rFonts w:ascii="Times New Roman" w:eastAsia="Times New Roman" w:hAnsi="Times New Roman" w:cs="Times New Roman"/>
                <w:color w:val="000000"/>
                <w:kern w:val="0"/>
                <w:sz w:val="22"/>
                <w:szCs w:val="22"/>
                <w:lang w:eastAsia="pt-BR" w:bidi="ar-SA"/>
              </w:rPr>
              <w:lastRenderedPageBreak/>
              <w:t>os tributos correntes e no LAIR</w:t>
            </w:r>
          </w:p>
        </w:tc>
      </w:tr>
      <w:tr w:rsidR="00727360" w:rsidRPr="00B41FB4" w14:paraId="0F398323" w14:textId="77777777" w:rsidTr="00B32ABD">
        <w:trPr>
          <w:trHeight w:val="1977"/>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197D1A" w14:textId="77777777" w:rsidR="00DD11A7" w:rsidRPr="00B41FB4" w:rsidRDefault="00DD11A7" w:rsidP="00DD11A7">
            <w:pPr>
              <w:suppressAutoHyphens w:val="0"/>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lastRenderedPageBreak/>
              <w:t>Receita auferida no período, não tributável pelo IRPJ/CSLL</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1036C" w14:textId="06F940FE" w:rsidR="00DD11A7" w:rsidRPr="00B41FB4" w:rsidRDefault="00DD11A7" w:rsidP="00DD11A7">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Permanente</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4D09D2" w14:textId="77777777" w:rsidR="00DD11A7" w:rsidRPr="00B41FB4" w:rsidRDefault="00DD11A7" w:rsidP="00DD11A7">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 xml:space="preserve">Não há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EA7FB" w14:textId="36EF8916" w:rsidR="00727360" w:rsidRPr="00B41FB4" w:rsidRDefault="00DD11A7" w:rsidP="00727360">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Exclusão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F058D" w14:textId="0969DE1A" w:rsidR="00DD11A7" w:rsidRPr="00B41FB4" w:rsidRDefault="00DD11A7" w:rsidP="00727360">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Reduz</w:t>
            </w:r>
            <w:r w:rsidR="00727360" w:rsidRPr="00B41FB4">
              <w:rPr>
                <w:rFonts w:ascii="Times New Roman" w:eastAsia="Times New Roman" w:hAnsi="Times New Roman" w:cs="Times New Roman"/>
                <w:color w:val="000000"/>
                <w:kern w:val="0"/>
                <w:sz w:val="22"/>
                <w:szCs w:val="22"/>
                <w:lang w:eastAsia="pt-BR" w:bidi="ar-SA"/>
              </w:rPr>
              <w:t xml:space="preserve"> a </w:t>
            </w:r>
            <w:proofErr w:type="spellStart"/>
            <w:r w:rsidR="00727360" w:rsidRPr="00B41FB4">
              <w:rPr>
                <w:rFonts w:ascii="Times New Roman" w:eastAsia="Times New Roman" w:hAnsi="Times New Roman" w:cs="Times New Roman"/>
                <w:color w:val="000000"/>
                <w:kern w:val="0"/>
                <w:sz w:val="22"/>
                <w:szCs w:val="22"/>
                <w:lang w:eastAsia="pt-BR" w:bidi="ar-SA"/>
              </w:rPr>
              <w:t>ETRc</w:t>
            </w:r>
            <w:proofErr w:type="spellEnd"/>
            <w:r w:rsidRPr="00B41FB4">
              <w:rPr>
                <w:rFonts w:ascii="Times New Roman" w:eastAsia="Times New Roman" w:hAnsi="Times New Roman" w:cs="Times New Roman"/>
                <w:color w:val="000000"/>
                <w:kern w:val="0"/>
                <w:sz w:val="22"/>
                <w:szCs w:val="22"/>
                <w:lang w:eastAsia="pt-BR" w:bidi="ar-SA"/>
              </w:rPr>
              <w:t>.</w:t>
            </w:r>
            <w:r w:rsidR="00727360" w:rsidRPr="00B41FB4">
              <w:rPr>
                <w:rFonts w:ascii="Times New Roman" w:eastAsia="Times New Roman" w:hAnsi="Times New Roman" w:cs="Times New Roman"/>
                <w:color w:val="000000"/>
                <w:kern w:val="0"/>
                <w:sz w:val="22"/>
                <w:szCs w:val="22"/>
                <w:lang w:eastAsia="pt-BR" w:bidi="ar-SA"/>
              </w:rPr>
              <w:t xml:space="preserve"> </w:t>
            </w:r>
            <w:r w:rsidRPr="00B41FB4">
              <w:rPr>
                <w:rFonts w:ascii="Times New Roman" w:eastAsia="Times New Roman" w:hAnsi="Times New Roman" w:cs="Times New Roman"/>
                <w:color w:val="000000"/>
                <w:kern w:val="0"/>
                <w:sz w:val="22"/>
                <w:szCs w:val="22"/>
                <w:lang w:eastAsia="pt-BR" w:bidi="ar-SA"/>
              </w:rPr>
              <w:t>Não altera as provisões corrente ou diferida, no entanto aumenta o LAIR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4C2FE" w14:textId="1BBF220C" w:rsidR="00DD11A7" w:rsidRPr="00B41FB4" w:rsidRDefault="00DD11A7" w:rsidP="00727360">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Reduz</w:t>
            </w:r>
            <w:r w:rsidR="00727360" w:rsidRPr="00B41FB4">
              <w:rPr>
                <w:rFonts w:ascii="Times New Roman" w:eastAsia="Times New Roman" w:hAnsi="Times New Roman" w:cs="Times New Roman"/>
                <w:color w:val="000000"/>
                <w:kern w:val="0"/>
                <w:sz w:val="22"/>
                <w:szCs w:val="22"/>
                <w:lang w:eastAsia="pt-BR" w:bidi="ar-SA"/>
              </w:rPr>
              <w:t xml:space="preserve"> a </w:t>
            </w:r>
            <w:proofErr w:type="spellStart"/>
            <w:r w:rsidR="00727360" w:rsidRPr="00B41FB4">
              <w:rPr>
                <w:rFonts w:ascii="Times New Roman" w:eastAsia="Times New Roman" w:hAnsi="Times New Roman" w:cs="Times New Roman"/>
                <w:color w:val="000000"/>
                <w:kern w:val="0"/>
                <w:sz w:val="22"/>
                <w:szCs w:val="22"/>
                <w:lang w:eastAsia="pt-BR" w:bidi="ar-SA"/>
              </w:rPr>
              <w:t>ET</w:t>
            </w:r>
            <w:r w:rsidR="003C46CD" w:rsidRPr="00B41FB4">
              <w:rPr>
                <w:rFonts w:ascii="Times New Roman" w:eastAsia="Times New Roman" w:hAnsi="Times New Roman" w:cs="Times New Roman"/>
                <w:color w:val="000000"/>
                <w:kern w:val="0"/>
                <w:sz w:val="22"/>
                <w:szCs w:val="22"/>
                <w:lang w:eastAsia="pt-BR" w:bidi="ar-SA"/>
              </w:rPr>
              <w:t>R</w:t>
            </w:r>
            <w:r w:rsidR="00727360" w:rsidRPr="00B41FB4">
              <w:rPr>
                <w:rFonts w:ascii="Times New Roman" w:eastAsia="Times New Roman" w:hAnsi="Times New Roman" w:cs="Times New Roman"/>
                <w:color w:val="000000"/>
                <w:kern w:val="0"/>
                <w:sz w:val="22"/>
                <w:szCs w:val="22"/>
                <w:lang w:eastAsia="pt-BR" w:bidi="ar-SA"/>
              </w:rPr>
              <w:t>t</w:t>
            </w:r>
            <w:proofErr w:type="spellEnd"/>
            <w:r w:rsidRPr="00B41FB4">
              <w:rPr>
                <w:rFonts w:ascii="Times New Roman" w:eastAsia="Times New Roman" w:hAnsi="Times New Roman" w:cs="Times New Roman"/>
                <w:color w:val="000000"/>
                <w:kern w:val="0"/>
                <w:sz w:val="22"/>
                <w:szCs w:val="22"/>
                <w:lang w:eastAsia="pt-BR" w:bidi="ar-SA"/>
              </w:rPr>
              <w:t>. Não altera as provisões corrente ou diferida, no entanto aumenta o LAIR</w:t>
            </w:r>
          </w:p>
        </w:tc>
      </w:tr>
      <w:tr w:rsidR="00727360" w:rsidRPr="00B41FB4" w14:paraId="6663FCF3" w14:textId="77777777" w:rsidTr="00B32ABD">
        <w:trPr>
          <w:trHeight w:val="1976"/>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6888AB" w14:textId="77777777" w:rsidR="00DD11A7" w:rsidRPr="00B41FB4" w:rsidRDefault="00DD11A7" w:rsidP="00DD11A7">
            <w:pPr>
              <w:suppressAutoHyphens w:val="0"/>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Receita auferida em períodos anteriores, reconhecida para fins fiscais durante o período</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4FCF61" w14:textId="7B6DE928" w:rsidR="00DD11A7" w:rsidRPr="00B41FB4" w:rsidRDefault="00DD11A7" w:rsidP="00DD11A7">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Temporária</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D38C1D" w14:textId="77777777" w:rsidR="00DD11A7" w:rsidRPr="00B41FB4" w:rsidRDefault="00DD11A7" w:rsidP="00727360">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Liquidação do passivo fiscal diferido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30024" w14:textId="233006D9" w:rsidR="00DD11A7" w:rsidRPr="00B41FB4" w:rsidRDefault="00DD11A7" w:rsidP="00727360">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Adição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19231F" w14:textId="4950DF4C" w:rsidR="00DD11A7" w:rsidRPr="00B41FB4" w:rsidRDefault="00727360" w:rsidP="005B1953">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Efeito n</w:t>
            </w:r>
            <w:r w:rsidR="00DD11A7" w:rsidRPr="00B41FB4">
              <w:rPr>
                <w:rFonts w:ascii="Times New Roman" w:eastAsia="Times New Roman" w:hAnsi="Times New Roman" w:cs="Times New Roman"/>
                <w:color w:val="000000"/>
                <w:kern w:val="0"/>
                <w:sz w:val="22"/>
                <w:szCs w:val="22"/>
                <w:lang w:eastAsia="pt-BR" w:bidi="ar-SA"/>
              </w:rPr>
              <w:t xml:space="preserve">eutro. Não altera a provisão corrente </w:t>
            </w:r>
            <w:r w:rsidR="00B57A4E" w:rsidRPr="00B41FB4">
              <w:rPr>
                <w:rFonts w:ascii="Times New Roman" w:eastAsia="Times New Roman" w:hAnsi="Times New Roman" w:cs="Times New Roman"/>
                <w:color w:val="000000"/>
                <w:kern w:val="0"/>
                <w:sz w:val="22"/>
                <w:szCs w:val="22"/>
                <w:lang w:eastAsia="pt-BR" w:bidi="ar-SA"/>
              </w:rPr>
              <w:t>nem</w:t>
            </w:r>
            <w:r w:rsidR="00DD11A7" w:rsidRPr="00B41FB4">
              <w:rPr>
                <w:rFonts w:ascii="Times New Roman" w:eastAsia="Times New Roman" w:hAnsi="Times New Roman" w:cs="Times New Roman"/>
                <w:color w:val="000000"/>
                <w:kern w:val="0"/>
                <w:sz w:val="22"/>
                <w:szCs w:val="22"/>
                <w:lang w:eastAsia="pt-BR" w:bidi="ar-SA"/>
              </w:rPr>
              <w:t xml:space="preserve"> o LAIR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651F05" w14:textId="3E933F2D" w:rsidR="00DD11A7" w:rsidRPr="00B41FB4" w:rsidRDefault="00DD11A7" w:rsidP="005B1953">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Aumenta</w:t>
            </w:r>
            <w:r w:rsidR="005B1953" w:rsidRPr="00B41FB4">
              <w:rPr>
                <w:rFonts w:ascii="Times New Roman" w:eastAsia="Times New Roman" w:hAnsi="Times New Roman" w:cs="Times New Roman"/>
                <w:color w:val="000000"/>
                <w:kern w:val="0"/>
                <w:sz w:val="22"/>
                <w:szCs w:val="22"/>
                <w:lang w:eastAsia="pt-BR" w:bidi="ar-SA"/>
              </w:rPr>
              <w:t xml:space="preserve"> a </w:t>
            </w:r>
            <w:proofErr w:type="spellStart"/>
            <w:r w:rsidR="005B1953" w:rsidRPr="00B41FB4">
              <w:rPr>
                <w:rFonts w:ascii="Times New Roman" w:eastAsia="Times New Roman" w:hAnsi="Times New Roman" w:cs="Times New Roman"/>
                <w:color w:val="000000"/>
                <w:kern w:val="0"/>
                <w:sz w:val="22"/>
                <w:szCs w:val="22"/>
                <w:lang w:eastAsia="pt-BR" w:bidi="ar-SA"/>
              </w:rPr>
              <w:t>ETRt</w:t>
            </w:r>
            <w:proofErr w:type="spellEnd"/>
            <w:r w:rsidRPr="00B41FB4">
              <w:rPr>
                <w:rFonts w:ascii="Times New Roman" w:eastAsia="Times New Roman" w:hAnsi="Times New Roman" w:cs="Times New Roman"/>
                <w:color w:val="000000"/>
                <w:kern w:val="0"/>
                <w:sz w:val="22"/>
                <w:szCs w:val="22"/>
                <w:lang w:eastAsia="pt-BR" w:bidi="ar-SA"/>
              </w:rPr>
              <w:t xml:space="preserve">. </w:t>
            </w:r>
            <w:r w:rsidR="00636C4A" w:rsidRPr="00B41FB4">
              <w:rPr>
                <w:rFonts w:ascii="Times New Roman" w:eastAsia="Times New Roman" w:hAnsi="Times New Roman" w:cs="Times New Roman"/>
                <w:color w:val="000000"/>
                <w:kern w:val="0"/>
                <w:sz w:val="22"/>
                <w:szCs w:val="22"/>
                <w:lang w:eastAsia="pt-BR" w:bidi="ar-SA"/>
              </w:rPr>
              <w:t>Provoca aumento n</w:t>
            </w:r>
            <w:r w:rsidRPr="00B41FB4">
              <w:rPr>
                <w:rFonts w:ascii="Times New Roman" w:eastAsia="Times New Roman" w:hAnsi="Times New Roman" w:cs="Times New Roman"/>
                <w:color w:val="000000"/>
                <w:kern w:val="0"/>
                <w:sz w:val="22"/>
                <w:szCs w:val="22"/>
                <w:lang w:eastAsia="pt-BR" w:bidi="ar-SA"/>
              </w:rPr>
              <w:t>a provisão diferida</w:t>
            </w:r>
            <w:r w:rsidR="00B57A4E" w:rsidRPr="00B41FB4">
              <w:rPr>
                <w:rFonts w:ascii="Times New Roman" w:eastAsia="Times New Roman" w:hAnsi="Times New Roman" w:cs="Times New Roman"/>
                <w:color w:val="000000"/>
                <w:kern w:val="0"/>
                <w:sz w:val="22"/>
                <w:szCs w:val="22"/>
                <w:lang w:eastAsia="pt-BR" w:bidi="ar-SA"/>
              </w:rPr>
              <w:t>,</w:t>
            </w:r>
            <w:r w:rsidRPr="00B41FB4">
              <w:rPr>
                <w:rFonts w:ascii="Times New Roman" w:eastAsia="Times New Roman" w:hAnsi="Times New Roman" w:cs="Times New Roman"/>
                <w:color w:val="000000"/>
                <w:kern w:val="0"/>
                <w:sz w:val="22"/>
                <w:szCs w:val="22"/>
                <w:lang w:eastAsia="pt-BR" w:bidi="ar-SA"/>
              </w:rPr>
              <w:t xml:space="preserve"> </w:t>
            </w:r>
            <w:r w:rsidR="005B1953" w:rsidRPr="00B41FB4">
              <w:rPr>
                <w:rFonts w:ascii="Times New Roman" w:eastAsia="Times New Roman" w:hAnsi="Times New Roman" w:cs="Times New Roman"/>
                <w:color w:val="000000"/>
                <w:kern w:val="0"/>
                <w:sz w:val="22"/>
                <w:szCs w:val="22"/>
                <w:lang w:eastAsia="pt-BR" w:bidi="ar-SA"/>
              </w:rPr>
              <w:t>mas</w:t>
            </w:r>
            <w:r w:rsidRPr="00B41FB4">
              <w:rPr>
                <w:rFonts w:ascii="Times New Roman" w:eastAsia="Times New Roman" w:hAnsi="Times New Roman" w:cs="Times New Roman"/>
                <w:color w:val="000000"/>
                <w:kern w:val="0"/>
                <w:sz w:val="22"/>
                <w:szCs w:val="22"/>
                <w:lang w:eastAsia="pt-BR" w:bidi="ar-SA"/>
              </w:rPr>
              <w:t xml:space="preserve"> não altera o LAIR</w:t>
            </w:r>
          </w:p>
        </w:tc>
      </w:tr>
      <w:tr w:rsidR="00727360" w:rsidRPr="00B41FB4" w14:paraId="39C99EC6" w14:textId="77777777" w:rsidTr="00B32ABD">
        <w:trPr>
          <w:trHeight w:val="1831"/>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58339" w14:textId="77777777" w:rsidR="00DD11A7" w:rsidRPr="00B41FB4" w:rsidRDefault="00DD11A7" w:rsidP="00DD11A7">
            <w:pPr>
              <w:suppressAutoHyphens w:val="0"/>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Custo ou despesa do período, diferido para fins fiscais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80D74" w14:textId="42ACFDFB" w:rsidR="00DD11A7" w:rsidRPr="00B41FB4" w:rsidRDefault="00DD11A7" w:rsidP="005B1953">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Temporária</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8FCC5" w14:textId="77777777" w:rsidR="00DD11A7" w:rsidRPr="00B41FB4" w:rsidRDefault="00DD11A7" w:rsidP="005B1953">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Reconhecimento de ativo fiscal diferido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60568" w14:textId="47D4B131" w:rsidR="00DD11A7" w:rsidRPr="00B41FB4" w:rsidRDefault="005B1953" w:rsidP="005B1953">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Adição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A39BA" w14:textId="5DC686C0" w:rsidR="00DD11A7" w:rsidRPr="00B41FB4" w:rsidRDefault="0017519A"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 xml:space="preserve">Pode aumentar ou reduzir a </w:t>
            </w:r>
            <w:proofErr w:type="spellStart"/>
            <w:r w:rsidRPr="00B41FB4">
              <w:rPr>
                <w:rFonts w:ascii="Times New Roman" w:eastAsia="Times New Roman" w:hAnsi="Times New Roman" w:cs="Times New Roman"/>
                <w:color w:val="000000"/>
                <w:kern w:val="0"/>
                <w:sz w:val="22"/>
                <w:szCs w:val="22"/>
                <w:lang w:eastAsia="pt-BR" w:bidi="ar-SA"/>
              </w:rPr>
              <w:t>ETRc</w:t>
            </w:r>
            <w:proofErr w:type="spellEnd"/>
            <w:r w:rsidR="00DD11A7" w:rsidRPr="00B41FB4">
              <w:rPr>
                <w:rFonts w:ascii="Times New Roman" w:eastAsia="Times New Roman" w:hAnsi="Times New Roman" w:cs="Times New Roman"/>
                <w:color w:val="000000"/>
                <w:kern w:val="0"/>
                <w:sz w:val="22"/>
                <w:szCs w:val="22"/>
                <w:lang w:eastAsia="pt-BR" w:bidi="ar-SA"/>
              </w:rPr>
              <w:t>.</w:t>
            </w:r>
            <w:r w:rsidR="00636C4A" w:rsidRPr="00B41FB4">
              <w:rPr>
                <w:rFonts w:ascii="Times New Roman" w:eastAsia="Times New Roman" w:hAnsi="Times New Roman" w:cs="Times New Roman"/>
                <w:color w:val="000000"/>
                <w:kern w:val="0"/>
                <w:sz w:val="22"/>
                <w:szCs w:val="22"/>
                <w:lang w:eastAsia="pt-BR" w:bidi="ar-SA"/>
              </w:rPr>
              <w:t xml:space="preserve"> Provoca</w:t>
            </w:r>
            <w:r w:rsidR="00DD11A7" w:rsidRPr="00B41FB4">
              <w:rPr>
                <w:rFonts w:ascii="Times New Roman" w:eastAsia="Times New Roman" w:hAnsi="Times New Roman" w:cs="Times New Roman"/>
                <w:color w:val="000000"/>
                <w:kern w:val="0"/>
                <w:sz w:val="22"/>
                <w:szCs w:val="22"/>
                <w:lang w:eastAsia="pt-BR" w:bidi="ar-SA"/>
              </w:rPr>
              <w:t xml:space="preserve"> </w:t>
            </w:r>
            <w:r w:rsidR="00636C4A" w:rsidRPr="00B41FB4">
              <w:rPr>
                <w:rFonts w:ascii="Times New Roman" w:eastAsia="Times New Roman" w:hAnsi="Times New Roman" w:cs="Times New Roman"/>
                <w:color w:val="000000"/>
                <w:kern w:val="0"/>
                <w:sz w:val="22"/>
                <w:szCs w:val="22"/>
                <w:lang w:eastAsia="pt-BR" w:bidi="ar-SA"/>
              </w:rPr>
              <w:t>d</w:t>
            </w:r>
            <w:r w:rsidR="00DD11A7" w:rsidRPr="00B41FB4">
              <w:rPr>
                <w:rFonts w:ascii="Times New Roman" w:eastAsia="Times New Roman" w:hAnsi="Times New Roman" w:cs="Times New Roman"/>
                <w:color w:val="000000"/>
                <w:kern w:val="0"/>
                <w:sz w:val="22"/>
                <w:szCs w:val="22"/>
                <w:lang w:eastAsia="pt-BR" w:bidi="ar-SA"/>
              </w:rPr>
              <w:t>iminui</w:t>
            </w:r>
            <w:r w:rsidR="00636C4A" w:rsidRPr="00B41FB4">
              <w:rPr>
                <w:rFonts w:ascii="Times New Roman" w:eastAsia="Times New Roman" w:hAnsi="Times New Roman" w:cs="Times New Roman"/>
                <w:color w:val="000000"/>
                <w:kern w:val="0"/>
                <w:sz w:val="22"/>
                <w:szCs w:val="22"/>
                <w:lang w:eastAsia="pt-BR" w:bidi="ar-SA"/>
              </w:rPr>
              <w:t>ção na</w:t>
            </w:r>
            <w:r w:rsidR="00DD11A7" w:rsidRPr="00B41FB4">
              <w:rPr>
                <w:rFonts w:ascii="Times New Roman" w:eastAsia="Times New Roman" w:hAnsi="Times New Roman" w:cs="Times New Roman"/>
                <w:color w:val="000000"/>
                <w:kern w:val="0"/>
                <w:sz w:val="22"/>
                <w:szCs w:val="22"/>
                <w:lang w:eastAsia="pt-BR" w:bidi="ar-SA"/>
              </w:rPr>
              <w:t xml:space="preserve"> provisão corrente e </w:t>
            </w:r>
            <w:r w:rsidR="00636C4A" w:rsidRPr="00B41FB4">
              <w:rPr>
                <w:rFonts w:ascii="Times New Roman" w:eastAsia="Times New Roman" w:hAnsi="Times New Roman" w:cs="Times New Roman"/>
                <w:color w:val="000000"/>
                <w:kern w:val="0"/>
                <w:sz w:val="22"/>
                <w:szCs w:val="22"/>
                <w:lang w:eastAsia="pt-BR" w:bidi="ar-SA"/>
              </w:rPr>
              <w:t>n</w:t>
            </w:r>
            <w:r w:rsidR="00DD11A7" w:rsidRPr="00B41FB4">
              <w:rPr>
                <w:rFonts w:ascii="Times New Roman" w:eastAsia="Times New Roman" w:hAnsi="Times New Roman" w:cs="Times New Roman"/>
                <w:color w:val="000000"/>
                <w:kern w:val="0"/>
                <w:sz w:val="22"/>
                <w:szCs w:val="22"/>
                <w:lang w:eastAsia="pt-BR" w:bidi="ar-SA"/>
              </w:rPr>
              <w:t>o LAIR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57155" w14:textId="242C69EA" w:rsidR="00DD11A7" w:rsidRPr="00B41FB4" w:rsidRDefault="00FE4113"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 xml:space="preserve">Pode aumentar ou reduzir </w:t>
            </w:r>
            <w:r w:rsidR="003C46CD" w:rsidRPr="00B41FB4">
              <w:rPr>
                <w:rFonts w:ascii="Times New Roman" w:eastAsia="Times New Roman" w:hAnsi="Times New Roman" w:cs="Times New Roman"/>
                <w:color w:val="000000"/>
                <w:kern w:val="0"/>
                <w:sz w:val="22"/>
                <w:szCs w:val="22"/>
                <w:lang w:eastAsia="pt-BR" w:bidi="ar-SA"/>
              </w:rPr>
              <w:t>a</w:t>
            </w:r>
            <w:r w:rsidRPr="00B41FB4">
              <w:rPr>
                <w:rFonts w:ascii="Times New Roman" w:eastAsia="Times New Roman" w:hAnsi="Times New Roman" w:cs="Times New Roman"/>
                <w:color w:val="000000"/>
                <w:kern w:val="0"/>
                <w:sz w:val="22"/>
                <w:szCs w:val="22"/>
                <w:lang w:eastAsia="pt-BR" w:bidi="ar-SA"/>
              </w:rPr>
              <w:t xml:space="preserve"> </w:t>
            </w:r>
            <w:proofErr w:type="spellStart"/>
            <w:r w:rsidRPr="00B41FB4">
              <w:rPr>
                <w:rFonts w:ascii="Times New Roman" w:eastAsia="Times New Roman" w:hAnsi="Times New Roman" w:cs="Times New Roman"/>
                <w:color w:val="000000"/>
                <w:kern w:val="0"/>
                <w:sz w:val="22"/>
                <w:szCs w:val="22"/>
                <w:lang w:eastAsia="pt-BR" w:bidi="ar-SA"/>
              </w:rPr>
              <w:t>ETRt</w:t>
            </w:r>
            <w:proofErr w:type="spellEnd"/>
            <w:r w:rsidR="00636C4A" w:rsidRPr="00B41FB4">
              <w:rPr>
                <w:rFonts w:ascii="Times New Roman" w:eastAsia="Times New Roman" w:hAnsi="Times New Roman" w:cs="Times New Roman"/>
                <w:color w:val="000000"/>
                <w:kern w:val="0"/>
                <w:sz w:val="22"/>
                <w:szCs w:val="22"/>
                <w:lang w:eastAsia="pt-BR" w:bidi="ar-SA"/>
              </w:rPr>
              <w:t>. Provoca diminuição na provisão corrente e no LAIR</w:t>
            </w:r>
          </w:p>
        </w:tc>
      </w:tr>
      <w:tr w:rsidR="00727360" w:rsidRPr="00B41FB4" w14:paraId="4AF5CE93" w14:textId="77777777" w:rsidTr="00B32ABD">
        <w:trPr>
          <w:trHeight w:val="1971"/>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CE40E" w14:textId="6CBB7365" w:rsidR="00DD11A7" w:rsidRPr="00B41FB4" w:rsidRDefault="00DD11A7" w:rsidP="00DD11A7">
            <w:pPr>
              <w:suppressAutoHyphens w:val="0"/>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Custo ou despesa do período,</w:t>
            </w:r>
            <w:r w:rsidR="005B1953" w:rsidRPr="00B41FB4">
              <w:rPr>
                <w:rFonts w:ascii="Times New Roman" w:eastAsia="Times New Roman" w:hAnsi="Times New Roman" w:cs="Times New Roman"/>
                <w:b/>
                <w:bCs/>
                <w:color w:val="000000"/>
                <w:kern w:val="0"/>
                <w:sz w:val="22"/>
                <w:szCs w:val="22"/>
                <w:lang w:eastAsia="pt-BR" w:bidi="ar-SA"/>
              </w:rPr>
              <w:t xml:space="preserve"> in</w:t>
            </w:r>
            <w:r w:rsidRPr="00B41FB4">
              <w:rPr>
                <w:rFonts w:ascii="Times New Roman" w:eastAsia="Times New Roman" w:hAnsi="Times New Roman" w:cs="Times New Roman"/>
                <w:b/>
                <w:bCs/>
                <w:color w:val="000000"/>
                <w:kern w:val="0"/>
                <w:sz w:val="22"/>
                <w:szCs w:val="22"/>
                <w:lang w:eastAsia="pt-BR" w:bidi="ar-SA"/>
              </w:rPr>
              <w:t>dedutível no IRPJ/CSLL</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5A38F" w14:textId="014938DB" w:rsidR="00DD11A7" w:rsidRPr="00B41FB4" w:rsidRDefault="00DD11A7" w:rsidP="00DD11A7">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Permanente</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080D0" w14:textId="77777777" w:rsidR="00DD11A7" w:rsidRPr="00B41FB4" w:rsidRDefault="00DD11A7" w:rsidP="00DD11A7">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 xml:space="preserve">Não há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A7990" w14:textId="7066E08B" w:rsidR="00DD11A7" w:rsidRPr="00B41FB4" w:rsidRDefault="005B1953" w:rsidP="005B1953">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Adição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66686" w14:textId="56E7FAA4" w:rsidR="00DD11A7" w:rsidRPr="00B41FB4" w:rsidRDefault="00DD11A7"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Aumenta</w:t>
            </w:r>
            <w:r w:rsidR="00636C4A" w:rsidRPr="00B41FB4">
              <w:rPr>
                <w:rFonts w:ascii="Times New Roman" w:eastAsia="Times New Roman" w:hAnsi="Times New Roman" w:cs="Times New Roman"/>
                <w:color w:val="000000"/>
                <w:kern w:val="0"/>
                <w:sz w:val="22"/>
                <w:szCs w:val="22"/>
                <w:lang w:eastAsia="pt-BR" w:bidi="ar-SA"/>
              </w:rPr>
              <w:t xml:space="preserve"> </w:t>
            </w:r>
            <w:r w:rsidR="003C46CD" w:rsidRPr="00B41FB4">
              <w:rPr>
                <w:rFonts w:ascii="Times New Roman" w:eastAsia="Times New Roman" w:hAnsi="Times New Roman" w:cs="Times New Roman"/>
                <w:color w:val="000000"/>
                <w:kern w:val="0"/>
                <w:sz w:val="22"/>
                <w:szCs w:val="22"/>
                <w:lang w:eastAsia="pt-BR" w:bidi="ar-SA"/>
              </w:rPr>
              <w:t>a</w:t>
            </w:r>
            <w:r w:rsidR="00636C4A" w:rsidRPr="00B41FB4">
              <w:rPr>
                <w:rFonts w:ascii="Times New Roman" w:eastAsia="Times New Roman" w:hAnsi="Times New Roman" w:cs="Times New Roman"/>
                <w:color w:val="000000"/>
                <w:kern w:val="0"/>
                <w:sz w:val="22"/>
                <w:szCs w:val="22"/>
                <w:lang w:eastAsia="pt-BR" w:bidi="ar-SA"/>
              </w:rPr>
              <w:t xml:space="preserve"> </w:t>
            </w:r>
            <w:proofErr w:type="spellStart"/>
            <w:r w:rsidR="00636C4A" w:rsidRPr="00B41FB4">
              <w:rPr>
                <w:rFonts w:ascii="Times New Roman" w:eastAsia="Times New Roman" w:hAnsi="Times New Roman" w:cs="Times New Roman"/>
                <w:color w:val="000000"/>
                <w:kern w:val="0"/>
                <w:sz w:val="22"/>
                <w:szCs w:val="22"/>
                <w:lang w:eastAsia="pt-BR" w:bidi="ar-SA"/>
              </w:rPr>
              <w:t>ETRc</w:t>
            </w:r>
            <w:proofErr w:type="spellEnd"/>
            <w:r w:rsidRPr="00B41FB4">
              <w:rPr>
                <w:rFonts w:ascii="Times New Roman" w:eastAsia="Times New Roman" w:hAnsi="Times New Roman" w:cs="Times New Roman"/>
                <w:color w:val="000000"/>
                <w:kern w:val="0"/>
                <w:sz w:val="22"/>
                <w:szCs w:val="22"/>
                <w:lang w:eastAsia="pt-BR" w:bidi="ar-SA"/>
              </w:rPr>
              <w:t xml:space="preserve">. Não </w:t>
            </w:r>
            <w:r w:rsidR="00636C4A" w:rsidRPr="00B41FB4">
              <w:rPr>
                <w:rFonts w:ascii="Times New Roman" w:eastAsia="Times New Roman" w:hAnsi="Times New Roman" w:cs="Times New Roman"/>
                <w:color w:val="000000"/>
                <w:kern w:val="0"/>
                <w:sz w:val="22"/>
                <w:szCs w:val="22"/>
                <w:lang w:eastAsia="pt-BR" w:bidi="ar-SA"/>
              </w:rPr>
              <w:t xml:space="preserve">causa </w:t>
            </w:r>
            <w:r w:rsidRPr="00B41FB4">
              <w:rPr>
                <w:rFonts w:ascii="Times New Roman" w:eastAsia="Times New Roman" w:hAnsi="Times New Roman" w:cs="Times New Roman"/>
                <w:color w:val="000000"/>
                <w:kern w:val="0"/>
                <w:sz w:val="22"/>
                <w:szCs w:val="22"/>
                <w:lang w:eastAsia="pt-BR" w:bidi="ar-SA"/>
              </w:rPr>
              <w:t>altera</w:t>
            </w:r>
            <w:r w:rsidR="00636C4A" w:rsidRPr="00B41FB4">
              <w:rPr>
                <w:rFonts w:ascii="Times New Roman" w:eastAsia="Times New Roman" w:hAnsi="Times New Roman" w:cs="Times New Roman"/>
                <w:color w:val="000000"/>
                <w:kern w:val="0"/>
                <w:sz w:val="22"/>
                <w:szCs w:val="22"/>
                <w:lang w:eastAsia="pt-BR" w:bidi="ar-SA"/>
              </w:rPr>
              <w:t>ção</w:t>
            </w:r>
            <w:r w:rsidRPr="00B41FB4">
              <w:rPr>
                <w:rFonts w:ascii="Times New Roman" w:eastAsia="Times New Roman" w:hAnsi="Times New Roman" w:cs="Times New Roman"/>
                <w:color w:val="000000"/>
                <w:kern w:val="0"/>
                <w:sz w:val="22"/>
                <w:szCs w:val="22"/>
                <w:lang w:eastAsia="pt-BR" w:bidi="ar-SA"/>
              </w:rPr>
              <w:t xml:space="preserve"> </w:t>
            </w:r>
            <w:r w:rsidR="00636C4A" w:rsidRPr="00B41FB4">
              <w:rPr>
                <w:rFonts w:ascii="Times New Roman" w:eastAsia="Times New Roman" w:hAnsi="Times New Roman" w:cs="Times New Roman"/>
                <w:color w:val="000000"/>
                <w:kern w:val="0"/>
                <w:sz w:val="22"/>
                <w:szCs w:val="22"/>
                <w:lang w:eastAsia="pt-BR" w:bidi="ar-SA"/>
              </w:rPr>
              <w:t>n</w:t>
            </w:r>
            <w:r w:rsidRPr="00B41FB4">
              <w:rPr>
                <w:rFonts w:ascii="Times New Roman" w:eastAsia="Times New Roman" w:hAnsi="Times New Roman" w:cs="Times New Roman"/>
                <w:color w:val="000000"/>
                <w:kern w:val="0"/>
                <w:sz w:val="22"/>
                <w:szCs w:val="22"/>
                <w:lang w:eastAsia="pt-BR" w:bidi="ar-SA"/>
              </w:rPr>
              <w:t>as provisões corrente ou diferida,</w:t>
            </w:r>
            <w:r w:rsidR="00636C4A" w:rsidRPr="00B41FB4">
              <w:rPr>
                <w:rFonts w:ascii="Times New Roman" w:eastAsia="Times New Roman" w:hAnsi="Times New Roman" w:cs="Times New Roman"/>
                <w:color w:val="000000"/>
                <w:kern w:val="0"/>
                <w:sz w:val="22"/>
                <w:szCs w:val="22"/>
                <w:lang w:eastAsia="pt-BR" w:bidi="ar-SA"/>
              </w:rPr>
              <w:t xml:space="preserve"> mas </w:t>
            </w:r>
            <w:r w:rsidRPr="00B41FB4">
              <w:rPr>
                <w:rFonts w:ascii="Times New Roman" w:eastAsia="Times New Roman" w:hAnsi="Times New Roman" w:cs="Times New Roman"/>
                <w:color w:val="000000"/>
                <w:kern w:val="0"/>
                <w:sz w:val="22"/>
                <w:szCs w:val="22"/>
                <w:lang w:eastAsia="pt-BR" w:bidi="ar-SA"/>
              </w:rPr>
              <w:t xml:space="preserve"> diminui o LAIR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7FB06" w14:textId="1C874E1B" w:rsidR="00DD11A7" w:rsidRPr="00B41FB4" w:rsidRDefault="00DD11A7"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Aumenta</w:t>
            </w:r>
            <w:r w:rsidR="00636C4A" w:rsidRPr="00B41FB4">
              <w:rPr>
                <w:rFonts w:ascii="Times New Roman" w:eastAsia="Times New Roman" w:hAnsi="Times New Roman" w:cs="Times New Roman"/>
                <w:color w:val="000000"/>
                <w:kern w:val="0"/>
                <w:sz w:val="22"/>
                <w:szCs w:val="22"/>
                <w:lang w:eastAsia="pt-BR" w:bidi="ar-SA"/>
              </w:rPr>
              <w:t xml:space="preserve"> </w:t>
            </w:r>
            <w:r w:rsidR="003C46CD" w:rsidRPr="00B41FB4">
              <w:rPr>
                <w:rFonts w:ascii="Times New Roman" w:eastAsia="Times New Roman" w:hAnsi="Times New Roman" w:cs="Times New Roman"/>
                <w:color w:val="000000"/>
                <w:kern w:val="0"/>
                <w:sz w:val="22"/>
                <w:szCs w:val="22"/>
                <w:lang w:eastAsia="pt-BR" w:bidi="ar-SA"/>
              </w:rPr>
              <w:t>a</w:t>
            </w:r>
            <w:r w:rsidR="00636C4A" w:rsidRPr="00B41FB4">
              <w:rPr>
                <w:rFonts w:ascii="Times New Roman" w:eastAsia="Times New Roman" w:hAnsi="Times New Roman" w:cs="Times New Roman"/>
                <w:color w:val="000000"/>
                <w:kern w:val="0"/>
                <w:sz w:val="22"/>
                <w:szCs w:val="22"/>
                <w:lang w:eastAsia="pt-BR" w:bidi="ar-SA"/>
              </w:rPr>
              <w:t xml:space="preserve"> </w:t>
            </w:r>
            <w:proofErr w:type="spellStart"/>
            <w:r w:rsidR="00636C4A" w:rsidRPr="00B41FB4">
              <w:rPr>
                <w:rFonts w:ascii="Times New Roman" w:eastAsia="Times New Roman" w:hAnsi="Times New Roman" w:cs="Times New Roman"/>
                <w:color w:val="000000"/>
                <w:kern w:val="0"/>
                <w:sz w:val="22"/>
                <w:szCs w:val="22"/>
                <w:lang w:eastAsia="pt-BR" w:bidi="ar-SA"/>
              </w:rPr>
              <w:t>ETRt</w:t>
            </w:r>
            <w:proofErr w:type="spellEnd"/>
            <w:r w:rsidRPr="00B41FB4">
              <w:rPr>
                <w:rFonts w:ascii="Times New Roman" w:eastAsia="Times New Roman" w:hAnsi="Times New Roman" w:cs="Times New Roman"/>
                <w:color w:val="000000"/>
                <w:kern w:val="0"/>
                <w:sz w:val="22"/>
                <w:szCs w:val="22"/>
                <w:lang w:eastAsia="pt-BR" w:bidi="ar-SA"/>
              </w:rPr>
              <w:t xml:space="preserve">. </w:t>
            </w:r>
            <w:r w:rsidR="00636C4A" w:rsidRPr="00B41FB4">
              <w:rPr>
                <w:rFonts w:ascii="Times New Roman" w:eastAsia="Times New Roman" w:hAnsi="Times New Roman" w:cs="Times New Roman"/>
                <w:color w:val="000000"/>
                <w:kern w:val="0"/>
                <w:sz w:val="22"/>
                <w:szCs w:val="22"/>
                <w:lang w:eastAsia="pt-BR" w:bidi="ar-SA"/>
              </w:rPr>
              <w:t>Não causa alteração nas provisões corrente ou diferida, mas  diminui o LAIR</w:t>
            </w:r>
          </w:p>
        </w:tc>
      </w:tr>
      <w:tr w:rsidR="00727360" w:rsidRPr="00B41FB4" w14:paraId="3EDEB7FC" w14:textId="77777777" w:rsidTr="000F4C71">
        <w:trPr>
          <w:trHeight w:val="1541"/>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02BC7C" w14:textId="37FA5116" w:rsidR="00DD11A7" w:rsidRPr="00B41FB4" w:rsidRDefault="00DD11A7" w:rsidP="00DD11A7">
            <w:pPr>
              <w:suppressAutoHyphens w:val="0"/>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Custo ou despesa incorrido</w:t>
            </w:r>
            <w:r w:rsidR="00875A54" w:rsidRPr="00B41FB4">
              <w:rPr>
                <w:rFonts w:ascii="Times New Roman" w:eastAsia="Times New Roman" w:hAnsi="Times New Roman" w:cs="Times New Roman"/>
                <w:b/>
                <w:bCs/>
                <w:color w:val="000000"/>
                <w:kern w:val="0"/>
                <w:sz w:val="22"/>
                <w:szCs w:val="22"/>
                <w:lang w:eastAsia="pt-BR" w:bidi="ar-SA"/>
              </w:rPr>
              <w:t>s</w:t>
            </w:r>
            <w:r w:rsidRPr="00B41FB4">
              <w:rPr>
                <w:rFonts w:ascii="Times New Roman" w:eastAsia="Times New Roman" w:hAnsi="Times New Roman" w:cs="Times New Roman"/>
                <w:b/>
                <w:bCs/>
                <w:color w:val="000000"/>
                <w:kern w:val="0"/>
                <w:sz w:val="22"/>
                <w:szCs w:val="22"/>
                <w:lang w:eastAsia="pt-BR" w:bidi="ar-SA"/>
              </w:rPr>
              <w:t xml:space="preserve"> em períodos anteriores, reconhecido para fins fiscais no período</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05CE25" w14:textId="7A3932B3" w:rsidR="00DD11A7" w:rsidRPr="00B41FB4" w:rsidRDefault="00DD11A7"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Temporária</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226E7" w14:textId="77777777" w:rsidR="00DD11A7" w:rsidRPr="00B41FB4" w:rsidRDefault="00DD11A7"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Realização do ativo fiscal diferido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5B2E01" w14:textId="60D9D05E" w:rsidR="00DD11A7" w:rsidRPr="00B41FB4" w:rsidRDefault="00DD11A7" w:rsidP="00636C4A">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Exclusão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0BE26" w14:textId="3BC3D694" w:rsidR="00DD11A7" w:rsidRPr="00B41FB4" w:rsidRDefault="00636C4A"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Efeito n</w:t>
            </w:r>
            <w:r w:rsidR="00DD11A7" w:rsidRPr="00B41FB4">
              <w:rPr>
                <w:rFonts w:ascii="Times New Roman" w:eastAsia="Times New Roman" w:hAnsi="Times New Roman" w:cs="Times New Roman"/>
                <w:color w:val="000000"/>
                <w:kern w:val="0"/>
                <w:sz w:val="22"/>
                <w:szCs w:val="22"/>
                <w:lang w:eastAsia="pt-BR" w:bidi="ar-SA"/>
              </w:rPr>
              <w:t xml:space="preserve">eutro. Não altera a provisão corrente </w:t>
            </w:r>
            <w:r w:rsidRPr="00B41FB4">
              <w:rPr>
                <w:rFonts w:ascii="Times New Roman" w:eastAsia="Times New Roman" w:hAnsi="Times New Roman" w:cs="Times New Roman"/>
                <w:color w:val="000000"/>
                <w:kern w:val="0"/>
                <w:sz w:val="22"/>
                <w:szCs w:val="22"/>
                <w:lang w:eastAsia="pt-BR" w:bidi="ar-SA"/>
              </w:rPr>
              <w:t>nem</w:t>
            </w:r>
            <w:r w:rsidR="00DD11A7" w:rsidRPr="00B41FB4">
              <w:rPr>
                <w:rFonts w:ascii="Times New Roman" w:eastAsia="Times New Roman" w:hAnsi="Times New Roman" w:cs="Times New Roman"/>
                <w:color w:val="000000"/>
                <w:kern w:val="0"/>
                <w:sz w:val="22"/>
                <w:szCs w:val="22"/>
                <w:lang w:eastAsia="pt-BR" w:bidi="ar-SA"/>
              </w:rPr>
              <w:t xml:space="preserve"> o LAIR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B6CEE" w14:textId="5BFD71F5" w:rsidR="00DD11A7" w:rsidRPr="00B41FB4" w:rsidRDefault="00DD11A7" w:rsidP="00636C4A">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Diminui</w:t>
            </w:r>
            <w:r w:rsidR="00636C4A" w:rsidRPr="00B41FB4">
              <w:rPr>
                <w:rFonts w:ascii="Times New Roman" w:eastAsia="Times New Roman" w:hAnsi="Times New Roman" w:cs="Times New Roman"/>
                <w:color w:val="000000"/>
                <w:kern w:val="0"/>
                <w:sz w:val="22"/>
                <w:szCs w:val="22"/>
                <w:lang w:eastAsia="pt-BR" w:bidi="ar-SA"/>
              </w:rPr>
              <w:t xml:space="preserve"> a </w:t>
            </w:r>
            <w:proofErr w:type="spellStart"/>
            <w:r w:rsidR="00636C4A" w:rsidRPr="00B41FB4">
              <w:rPr>
                <w:rFonts w:ascii="Times New Roman" w:eastAsia="Times New Roman" w:hAnsi="Times New Roman" w:cs="Times New Roman"/>
                <w:color w:val="000000"/>
                <w:kern w:val="0"/>
                <w:sz w:val="22"/>
                <w:szCs w:val="22"/>
                <w:lang w:eastAsia="pt-BR" w:bidi="ar-SA"/>
              </w:rPr>
              <w:t>ETRt</w:t>
            </w:r>
            <w:proofErr w:type="spellEnd"/>
            <w:r w:rsidRPr="00B41FB4">
              <w:rPr>
                <w:rFonts w:ascii="Times New Roman" w:eastAsia="Times New Roman" w:hAnsi="Times New Roman" w:cs="Times New Roman"/>
                <w:color w:val="000000"/>
                <w:kern w:val="0"/>
                <w:sz w:val="22"/>
                <w:szCs w:val="22"/>
                <w:lang w:eastAsia="pt-BR" w:bidi="ar-SA"/>
              </w:rPr>
              <w:t xml:space="preserve">. </w:t>
            </w:r>
            <w:r w:rsidR="00636C4A" w:rsidRPr="00B41FB4">
              <w:rPr>
                <w:rFonts w:ascii="Times New Roman" w:eastAsia="Times New Roman" w:hAnsi="Times New Roman" w:cs="Times New Roman"/>
                <w:color w:val="000000"/>
                <w:kern w:val="0"/>
                <w:sz w:val="22"/>
                <w:szCs w:val="22"/>
                <w:lang w:eastAsia="pt-BR" w:bidi="ar-SA"/>
              </w:rPr>
              <w:t>Provoca redução na</w:t>
            </w:r>
            <w:r w:rsidRPr="00B41FB4">
              <w:rPr>
                <w:rFonts w:ascii="Times New Roman" w:eastAsia="Times New Roman" w:hAnsi="Times New Roman" w:cs="Times New Roman"/>
                <w:color w:val="000000"/>
                <w:kern w:val="0"/>
                <w:sz w:val="22"/>
                <w:szCs w:val="22"/>
                <w:lang w:eastAsia="pt-BR" w:bidi="ar-SA"/>
              </w:rPr>
              <w:t xml:space="preserve"> provisão diferida</w:t>
            </w:r>
            <w:r w:rsidR="00636C4A" w:rsidRPr="00B41FB4">
              <w:rPr>
                <w:rFonts w:ascii="Times New Roman" w:eastAsia="Times New Roman" w:hAnsi="Times New Roman" w:cs="Times New Roman"/>
                <w:color w:val="000000"/>
                <w:kern w:val="0"/>
                <w:sz w:val="22"/>
                <w:szCs w:val="22"/>
                <w:lang w:eastAsia="pt-BR" w:bidi="ar-SA"/>
              </w:rPr>
              <w:t>,</w:t>
            </w:r>
            <w:r w:rsidRPr="00B41FB4">
              <w:rPr>
                <w:rFonts w:ascii="Times New Roman" w:eastAsia="Times New Roman" w:hAnsi="Times New Roman" w:cs="Times New Roman"/>
                <w:color w:val="000000"/>
                <w:kern w:val="0"/>
                <w:sz w:val="22"/>
                <w:szCs w:val="22"/>
                <w:lang w:eastAsia="pt-BR" w:bidi="ar-SA"/>
              </w:rPr>
              <w:t xml:space="preserve"> </w:t>
            </w:r>
            <w:r w:rsidR="00636C4A" w:rsidRPr="00B41FB4">
              <w:rPr>
                <w:rFonts w:ascii="Times New Roman" w:eastAsia="Times New Roman" w:hAnsi="Times New Roman" w:cs="Times New Roman"/>
                <w:color w:val="000000"/>
                <w:kern w:val="0"/>
                <w:sz w:val="22"/>
                <w:szCs w:val="22"/>
                <w:lang w:eastAsia="pt-BR" w:bidi="ar-SA"/>
              </w:rPr>
              <w:t>mas</w:t>
            </w:r>
            <w:r w:rsidRPr="00B41FB4">
              <w:rPr>
                <w:rFonts w:ascii="Times New Roman" w:eastAsia="Times New Roman" w:hAnsi="Times New Roman" w:cs="Times New Roman"/>
                <w:color w:val="000000"/>
                <w:kern w:val="0"/>
                <w:sz w:val="22"/>
                <w:szCs w:val="22"/>
                <w:lang w:eastAsia="pt-BR" w:bidi="ar-SA"/>
              </w:rPr>
              <w:t xml:space="preserve"> não altera o LAIR</w:t>
            </w:r>
          </w:p>
        </w:tc>
      </w:tr>
      <w:tr w:rsidR="00727360" w:rsidRPr="00B41FB4" w14:paraId="27DDAB48" w14:textId="77777777" w:rsidTr="00B32ABD">
        <w:trPr>
          <w:trHeight w:val="2212"/>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450A01" w14:textId="7AF44A9D" w:rsidR="00DD11A7" w:rsidRPr="00B41FB4" w:rsidRDefault="00DD11A7" w:rsidP="00DD11A7">
            <w:pPr>
              <w:suppressAutoHyphens w:val="0"/>
              <w:rPr>
                <w:rFonts w:ascii="Times New Roman" w:eastAsia="Times New Roman" w:hAnsi="Times New Roman" w:cs="Times New Roman"/>
                <w:b/>
                <w:bCs/>
                <w:color w:val="000000"/>
                <w:kern w:val="0"/>
                <w:sz w:val="22"/>
                <w:szCs w:val="22"/>
                <w:lang w:eastAsia="pt-BR" w:bidi="ar-SA"/>
              </w:rPr>
            </w:pPr>
            <w:r w:rsidRPr="00B41FB4">
              <w:rPr>
                <w:rFonts w:ascii="Times New Roman" w:eastAsia="Times New Roman" w:hAnsi="Times New Roman" w:cs="Times New Roman"/>
                <w:b/>
                <w:bCs/>
                <w:color w:val="000000"/>
                <w:kern w:val="0"/>
                <w:sz w:val="22"/>
                <w:szCs w:val="22"/>
                <w:lang w:eastAsia="pt-BR" w:bidi="ar-SA"/>
              </w:rPr>
              <w:t xml:space="preserve">Prejuízo fiscal </w:t>
            </w:r>
            <w:r w:rsidR="00066CBF" w:rsidRPr="00B41FB4">
              <w:rPr>
                <w:rFonts w:ascii="Times New Roman" w:eastAsia="Times New Roman" w:hAnsi="Times New Roman" w:cs="Times New Roman"/>
                <w:b/>
                <w:bCs/>
                <w:color w:val="000000"/>
                <w:kern w:val="0"/>
                <w:sz w:val="22"/>
                <w:szCs w:val="22"/>
                <w:lang w:eastAsia="pt-BR" w:bidi="ar-SA"/>
              </w:rPr>
              <w:t xml:space="preserve">do IRPJ </w:t>
            </w:r>
            <w:r w:rsidRPr="00B41FB4">
              <w:rPr>
                <w:rFonts w:ascii="Times New Roman" w:eastAsia="Times New Roman" w:hAnsi="Times New Roman" w:cs="Times New Roman"/>
                <w:b/>
                <w:bCs/>
                <w:color w:val="000000"/>
                <w:kern w:val="0"/>
                <w:sz w:val="22"/>
                <w:szCs w:val="22"/>
                <w:lang w:eastAsia="pt-BR" w:bidi="ar-SA"/>
              </w:rPr>
              <w:t>e/ou base negativa da CSLL de períodos anteriores compensado no período</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D7877" w14:textId="7D2A16F0" w:rsidR="00DD11A7" w:rsidRPr="00B41FB4" w:rsidRDefault="00DD11A7" w:rsidP="00DD11A7">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Permanente</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35E99" w14:textId="77777777" w:rsidR="00DD11A7" w:rsidRPr="00B41FB4" w:rsidRDefault="00DD11A7" w:rsidP="00DD11A7">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Realização do ativo fiscal diferido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0F212" w14:textId="03C7646B" w:rsidR="00DD11A7" w:rsidRPr="00B41FB4" w:rsidRDefault="00DD11A7" w:rsidP="00636C4A">
            <w:pPr>
              <w:suppressAutoHyphens w:val="0"/>
              <w:jc w:val="center"/>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Compensação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351E4" w14:textId="789DC6F2" w:rsidR="00DD11A7" w:rsidRPr="00B41FB4" w:rsidRDefault="00DD11A7" w:rsidP="00DD11A7">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Reduz</w:t>
            </w:r>
            <w:r w:rsidR="00B57A4E" w:rsidRPr="00B41FB4">
              <w:rPr>
                <w:rFonts w:ascii="Times New Roman" w:eastAsia="Times New Roman" w:hAnsi="Times New Roman" w:cs="Times New Roman"/>
                <w:color w:val="000000"/>
                <w:kern w:val="0"/>
                <w:sz w:val="22"/>
                <w:szCs w:val="22"/>
                <w:lang w:eastAsia="pt-BR" w:bidi="ar-SA"/>
              </w:rPr>
              <w:t xml:space="preserve"> a </w:t>
            </w:r>
            <w:proofErr w:type="spellStart"/>
            <w:r w:rsidR="00B57A4E" w:rsidRPr="00B41FB4">
              <w:rPr>
                <w:rFonts w:ascii="Times New Roman" w:eastAsia="Times New Roman" w:hAnsi="Times New Roman" w:cs="Times New Roman"/>
                <w:color w:val="000000"/>
                <w:kern w:val="0"/>
                <w:sz w:val="22"/>
                <w:szCs w:val="22"/>
                <w:lang w:eastAsia="pt-BR" w:bidi="ar-SA"/>
              </w:rPr>
              <w:t>ETRc</w:t>
            </w:r>
            <w:proofErr w:type="spellEnd"/>
            <w:r w:rsidRPr="00B41FB4">
              <w:rPr>
                <w:rFonts w:ascii="Times New Roman" w:eastAsia="Times New Roman" w:hAnsi="Times New Roman" w:cs="Times New Roman"/>
                <w:color w:val="000000"/>
                <w:kern w:val="0"/>
                <w:sz w:val="22"/>
                <w:szCs w:val="22"/>
                <w:lang w:eastAsia="pt-BR" w:bidi="ar-SA"/>
              </w:rPr>
              <w:t xml:space="preserve">. </w:t>
            </w:r>
            <w:r w:rsidR="00B57A4E" w:rsidRPr="00B41FB4">
              <w:rPr>
                <w:rFonts w:ascii="Times New Roman" w:eastAsia="Times New Roman" w:hAnsi="Times New Roman" w:cs="Times New Roman"/>
                <w:color w:val="000000"/>
                <w:kern w:val="0"/>
                <w:sz w:val="22"/>
                <w:szCs w:val="22"/>
                <w:lang w:eastAsia="pt-BR" w:bidi="ar-SA"/>
              </w:rPr>
              <w:t>Causa diminuição nas</w:t>
            </w:r>
            <w:r w:rsidRPr="00B41FB4">
              <w:rPr>
                <w:rFonts w:ascii="Times New Roman" w:eastAsia="Times New Roman" w:hAnsi="Times New Roman" w:cs="Times New Roman"/>
                <w:color w:val="000000"/>
                <w:kern w:val="0"/>
                <w:sz w:val="22"/>
                <w:szCs w:val="22"/>
                <w:lang w:eastAsia="pt-BR" w:bidi="ar-SA"/>
              </w:rPr>
              <w:t xml:space="preserve"> provisões corrente e/ou diferida, no entanto não altera o LAIR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E957E5" w14:textId="39AE7AF0" w:rsidR="00DD11A7" w:rsidRPr="00B41FB4" w:rsidRDefault="00DD11A7" w:rsidP="00DD11A7">
            <w:pPr>
              <w:suppressAutoHyphens w:val="0"/>
              <w:rPr>
                <w:rFonts w:ascii="Times New Roman" w:eastAsia="Times New Roman" w:hAnsi="Times New Roman" w:cs="Times New Roman"/>
                <w:color w:val="000000"/>
                <w:kern w:val="0"/>
                <w:sz w:val="22"/>
                <w:szCs w:val="22"/>
                <w:lang w:eastAsia="pt-BR" w:bidi="ar-SA"/>
              </w:rPr>
            </w:pPr>
            <w:r w:rsidRPr="00B41FB4">
              <w:rPr>
                <w:rFonts w:ascii="Times New Roman" w:eastAsia="Times New Roman" w:hAnsi="Times New Roman" w:cs="Times New Roman"/>
                <w:color w:val="000000"/>
                <w:kern w:val="0"/>
                <w:sz w:val="22"/>
                <w:szCs w:val="22"/>
                <w:lang w:eastAsia="pt-BR" w:bidi="ar-SA"/>
              </w:rPr>
              <w:t>Reduz</w:t>
            </w:r>
            <w:r w:rsidR="00B57A4E" w:rsidRPr="00B41FB4">
              <w:rPr>
                <w:rFonts w:ascii="Times New Roman" w:eastAsia="Times New Roman" w:hAnsi="Times New Roman" w:cs="Times New Roman"/>
                <w:color w:val="000000"/>
                <w:kern w:val="0"/>
                <w:sz w:val="22"/>
                <w:szCs w:val="22"/>
                <w:lang w:eastAsia="pt-BR" w:bidi="ar-SA"/>
              </w:rPr>
              <w:t xml:space="preserve"> a </w:t>
            </w:r>
            <w:proofErr w:type="spellStart"/>
            <w:r w:rsidR="00B57A4E" w:rsidRPr="00B41FB4">
              <w:rPr>
                <w:rFonts w:ascii="Times New Roman" w:eastAsia="Times New Roman" w:hAnsi="Times New Roman" w:cs="Times New Roman"/>
                <w:color w:val="000000"/>
                <w:kern w:val="0"/>
                <w:sz w:val="22"/>
                <w:szCs w:val="22"/>
                <w:lang w:eastAsia="pt-BR" w:bidi="ar-SA"/>
              </w:rPr>
              <w:t>ETRt</w:t>
            </w:r>
            <w:proofErr w:type="spellEnd"/>
            <w:r w:rsidRPr="00B41FB4">
              <w:rPr>
                <w:rFonts w:ascii="Times New Roman" w:eastAsia="Times New Roman" w:hAnsi="Times New Roman" w:cs="Times New Roman"/>
                <w:color w:val="000000"/>
                <w:kern w:val="0"/>
                <w:sz w:val="22"/>
                <w:szCs w:val="22"/>
                <w:lang w:eastAsia="pt-BR" w:bidi="ar-SA"/>
              </w:rPr>
              <w:t xml:space="preserve">. </w:t>
            </w:r>
            <w:r w:rsidR="00B57A4E" w:rsidRPr="00B41FB4">
              <w:rPr>
                <w:rFonts w:ascii="Times New Roman" w:eastAsia="Times New Roman" w:hAnsi="Times New Roman" w:cs="Times New Roman"/>
                <w:color w:val="000000"/>
                <w:kern w:val="0"/>
                <w:sz w:val="22"/>
                <w:szCs w:val="22"/>
                <w:lang w:eastAsia="pt-BR" w:bidi="ar-SA"/>
              </w:rPr>
              <w:t>Causa diminuição nas provisões corrente e/ou diferida, no entanto não altera o LAIR</w:t>
            </w:r>
          </w:p>
        </w:tc>
      </w:tr>
    </w:tbl>
    <w:p w14:paraId="718E5D0E" w14:textId="2F948784" w:rsidR="00212A2B" w:rsidRPr="00B41FB4" w:rsidRDefault="00901B51" w:rsidP="00901B51">
      <w:pPr>
        <w:jc w:val="both"/>
        <w:rPr>
          <w:rFonts w:ascii="Times New Roman" w:hAnsi="Times New Roman" w:cs="Times New Roman"/>
          <w:sz w:val="22"/>
          <w:szCs w:val="22"/>
        </w:rPr>
      </w:pPr>
      <w:r w:rsidRPr="00B41FB4">
        <w:rPr>
          <w:rFonts w:ascii="Times New Roman" w:hAnsi="Times New Roman" w:cs="Times New Roman"/>
          <w:sz w:val="22"/>
          <w:szCs w:val="22"/>
        </w:rPr>
        <w:t>Fonte: preparado pelos autores, 2020.</w:t>
      </w:r>
    </w:p>
    <w:p w14:paraId="3D13E370" w14:textId="77777777" w:rsidR="00865ADB" w:rsidRPr="00B41FB4" w:rsidRDefault="00865ADB" w:rsidP="009862D6">
      <w:pPr>
        <w:spacing w:after="120"/>
        <w:jc w:val="both"/>
        <w:rPr>
          <w:rFonts w:ascii="Times New Roman" w:hAnsi="Times New Roman" w:cs="Times New Roman"/>
          <w:sz w:val="22"/>
          <w:szCs w:val="22"/>
        </w:rPr>
      </w:pPr>
    </w:p>
    <w:p w14:paraId="692A0899" w14:textId="44D1BB86" w:rsidR="00A04A5C" w:rsidRDefault="009C73EA" w:rsidP="009862D6">
      <w:pPr>
        <w:spacing w:after="120"/>
        <w:jc w:val="both"/>
        <w:rPr>
          <w:rFonts w:ascii="Times New Roman" w:hAnsi="Times New Roman" w:cs="Times New Roman"/>
        </w:rPr>
      </w:pPr>
      <w:r>
        <w:rPr>
          <w:rFonts w:ascii="Times New Roman" w:hAnsi="Times New Roman" w:cs="Times New Roman"/>
        </w:rPr>
        <w:t xml:space="preserve">  </w:t>
      </w:r>
    </w:p>
    <w:p w14:paraId="4AD568A0" w14:textId="7CFDCEAF" w:rsidR="00572A9A" w:rsidRDefault="00073A36" w:rsidP="009862D6">
      <w:pPr>
        <w:spacing w:after="120"/>
        <w:jc w:val="both"/>
        <w:rPr>
          <w:rFonts w:ascii="Times New Roman" w:hAnsi="Times New Roman" w:cs="Times New Roman"/>
          <w:b/>
          <w:bCs/>
        </w:rPr>
      </w:pPr>
      <w:r w:rsidRPr="00E5726E">
        <w:rPr>
          <w:rFonts w:ascii="Times New Roman" w:hAnsi="Times New Roman" w:cs="Times New Roman"/>
          <w:b/>
          <w:bCs/>
        </w:rPr>
        <w:lastRenderedPageBreak/>
        <w:t>3 METODOLOGIA</w:t>
      </w:r>
    </w:p>
    <w:p w14:paraId="5BEE58A9" w14:textId="77777777" w:rsidR="00865ADB" w:rsidRDefault="00865ADB" w:rsidP="009862D6">
      <w:pPr>
        <w:spacing w:after="120"/>
        <w:jc w:val="both"/>
        <w:rPr>
          <w:rFonts w:ascii="Times New Roman" w:hAnsi="Times New Roman" w:cs="Times New Roman"/>
        </w:rPr>
      </w:pPr>
    </w:p>
    <w:p w14:paraId="781BA9BF" w14:textId="13219743" w:rsidR="00055799" w:rsidRDefault="000C342E" w:rsidP="00F83A22">
      <w:pPr>
        <w:spacing w:after="120"/>
        <w:ind w:firstLine="709"/>
        <w:jc w:val="both"/>
        <w:rPr>
          <w:rFonts w:ascii="Times New Roman" w:hAnsi="Times New Roman" w:cs="Times New Roman"/>
        </w:rPr>
      </w:pPr>
      <w:r>
        <w:rPr>
          <w:rFonts w:ascii="Times New Roman" w:hAnsi="Times New Roman" w:cs="Times New Roman"/>
        </w:rPr>
        <w:t>De acordo com Marconi e Lakatos (201</w:t>
      </w:r>
      <w:r w:rsidR="006251C7">
        <w:rPr>
          <w:rFonts w:ascii="Times New Roman" w:hAnsi="Times New Roman" w:cs="Times New Roman"/>
        </w:rPr>
        <w:t>7</w:t>
      </w:r>
      <w:r>
        <w:rPr>
          <w:rFonts w:ascii="Times New Roman" w:hAnsi="Times New Roman" w:cs="Times New Roman"/>
        </w:rPr>
        <w:t xml:space="preserve">), </w:t>
      </w:r>
      <w:r w:rsidR="00AC593F">
        <w:rPr>
          <w:rFonts w:ascii="Times New Roman" w:hAnsi="Times New Roman" w:cs="Times New Roman"/>
        </w:rPr>
        <w:t>o presente estudo</w:t>
      </w:r>
      <w:r w:rsidR="005D0FC6">
        <w:rPr>
          <w:rFonts w:ascii="Times New Roman" w:hAnsi="Times New Roman" w:cs="Times New Roman"/>
        </w:rPr>
        <w:t xml:space="preserve"> é </w:t>
      </w:r>
      <w:r w:rsidR="0046160B">
        <w:rPr>
          <w:rFonts w:ascii="Times New Roman" w:hAnsi="Times New Roman" w:cs="Times New Roman"/>
        </w:rPr>
        <w:t>de natureza</w:t>
      </w:r>
      <w:r>
        <w:rPr>
          <w:rFonts w:ascii="Times New Roman" w:hAnsi="Times New Roman" w:cs="Times New Roman"/>
        </w:rPr>
        <w:t xml:space="preserve"> </w:t>
      </w:r>
      <w:r w:rsidR="005472EF">
        <w:rPr>
          <w:rFonts w:ascii="Times New Roman" w:hAnsi="Times New Roman" w:cs="Times New Roman"/>
        </w:rPr>
        <w:t>descritiv</w:t>
      </w:r>
      <w:r w:rsidR="0046160B">
        <w:rPr>
          <w:rFonts w:ascii="Times New Roman" w:hAnsi="Times New Roman" w:cs="Times New Roman"/>
        </w:rPr>
        <w:t>a</w:t>
      </w:r>
      <w:r w:rsidR="005472EF">
        <w:rPr>
          <w:rFonts w:ascii="Times New Roman" w:hAnsi="Times New Roman" w:cs="Times New Roman"/>
        </w:rPr>
        <w:t>,</w:t>
      </w:r>
      <w:r w:rsidR="00AC593F">
        <w:rPr>
          <w:rFonts w:ascii="Times New Roman" w:hAnsi="Times New Roman" w:cs="Times New Roman"/>
        </w:rPr>
        <w:t xml:space="preserve"> </w:t>
      </w:r>
      <w:r w:rsidR="0046160B">
        <w:rPr>
          <w:rFonts w:ascii="Times New Roman" w:hAnsi="Times New Roman" w:cs="Times New Roman"/>
        </w:rPr>
        <w:t xml:space="preserve">tendo sido </w:t>
      </w:r>
      <w:r w:rsidR="00AC593F">
        <w:rPr>
          <w:rFonts w:ascii="Times New Roman" w:hAnsi="Times New Roman" w:cs="Times New Roman"/>
        </w:rPr>
        <w:t>realizado sob a técnica d</w:t>
      </w:r>
      <w:r w:rsidR="00405A69">
        <w:rPr>
          <w:rFonts w:ascii="Times New Roman" w:hAnsi="Times New Roman" w:cs="Times New Roman"/>
        </w:rPr>
        <w:t>a</w:t>
      </w:r>
      <w:r w:rsidR="00AC593F">
        <w:rPr>
          <w:rFonts w:ascii="Times New Roman" w:hAnsi="Times New Roman" w:cs="Times New Roman"/>
        </w:rPr>
        <w:t xml:space="preserve"> pesquis</w:t>
      </w:r>
      <w:r w:rsidR="00074B7F">
        <w:rPr>
          <w:rFonts w:ascii="Times New Roman" w:hAnsi="Times New Roman" w:cs="Times New Roman"/>
        </w:rPr>
        <w:t xml:space="preserve">a </w:t>
      </w:r>
      <w:r w:rsidR="00607A1D">
        <w:rPr>
          <w:rFonts w:ascii="Times New Roman" w:hAnsi="Times New Roman" w:cs="Times New Roman"/>
        </w:rPr>
        <w:t>documental</w:t>
      </w:r>
      <w:r w:rsidR="002E064A">
        <w:rPr>
          <w:rFonts w:ascii="Times New Roman" w:hAnsi="Times New Roman" w:cs="Times New Roman"/>
        </w:rPr>
        <w:t>.</w:t>
      </w:r>
      <w:r w:rsidR="00074B7F">
        <w:rPr>
          <w:rFonts w:ascii="Times New Roman" w:hAnsi="Times New Roman" w:cs="Times New Roman"/>
        </w:rPr>
        <w:t xml:space="preserve"> </w:t>
      </w:r>
      <w:r w:rsidR="002E064A">
        <w:rPr>
          <w:rFonts w:ascii="Times New Roman" w:hAnsi="Times New Roman" w:cs="Times New Roman"/>
        </w:rPr>
        <w:t>A</w:t>
      </w:r>
      <w:r w:rsidR="00C4721A">
        <w:rPr>
          <w:rFonts w:ascii="Times New Roman" w:hAnsi="Times New Roman" w:cs="Times New Roman"/>
        </w:rPr>
        <w:t xml:space="preserve"> metodologia</w:t>
      </w:r>
      <w:r w:rsidR="002E064A">
        <w:rPr>
          <w:rFonts w:ascii="Times New Roman" w:hAnsi="Times New Roman" w:cs="Times New Roman"/>
        </w:rPr>
        <w:t xml:space="preserve"> utilizada é</w:t>
      </w:r>
      <w:r w:rsidR="00C4721A">
        <w:rPr>
          <w:rFonts w:ascii="Times New Roman" w:hAnsi="Times New Roman" w:cs="Times New Roman"/>
        </w:rPr>
        <w:t xml:space="preserve"> mista </w:t>
      </w:r>
      <w:r w:rsidR="003A1309">
        <w:rPr>
          <w:rFonts w:ascii="Times New Roman" w:hAnsi="Times New Roman" w:cs="Times New Roman"/>
        </w:rPr>
        <w:t>pois</w:t>
      </w:r>
      <w:r w:rsidR="00CD2426">
        <w:rPr>
          <w:rFonts w:ascii="Times New Roman" w:hAnsi="Times New Roman" w:cs="Times New Roman"/>
        </w:rPr>
        <w:t xml:space="preserve"> envolve</w:t>
      </w:r>
      <w:r w:rsidR="00B87594">
        <w:rPr>
          <w:rFonts w:ascii="Times New Roman" w:hAnsi="Times New Roman" w:cs="Times New Roman"/>
        </w:rPr>
        <w:t>u</w:t>
      </w:r>
      <w:r w:rsidR="00CD2426">
        <w:rPr>
          <w:rFonts w:ascii="Times New Roman" w:hAnsi="Times New Roman" w:cs="Times New Roman"/>
        </w:rPr>
        <w:t xml:space="preserve"> uma investigação </w:t>
      </w:r>
      <w:r w:rsidR="00074B7F">
        <w:rPr>
          <w:rFonts w:ascii="Times New Roman" w:hAnsi="Times New Roman" w:cs="Times New Roman"/>
        </w:rPr>
        <w:t>qua</w:t>
      </w:r>
      <w:r w:rsidR="006411FC">
        <w:rPr>
          <w:rFonts w:ascii="Times New Roman" w:hAnsi="Times New Roman" w:cs="Times New Roman"/>
        </w:rPr>
        <w:t>litativa</w:t>
      </w:r>
      <w:r w:rsidR="003A1309">
        <w:rPr>
          <w:rFonts w:ascii="Times New Roman" w:hAnsi="Times New Roman" w:cs="Times New Roman"/>
        </w:rPr>
        <w:t>,</w:t>
      </w:r>
      <w:r w:rsidR="00CD2426">
        <w:rPr>
          <w:rFonts w:ascii="Times New Roman" w:hAnsi="Times New Roman" w:cs="Times New Roman"/>
        </w:rPr>
        <w:t xml:space="preserve"> complementada por outra</w:t>
      </w:r>
      <w:r w:rsidR="00E477C5">
        <w:rPr>
          <w:rFonts w:ascii="Times New Roman" w:hAnsi="Times New Roman" w:cs="Times New Roman"/>
        </w:rPr>
        <w:t>,</w:t>
      </w:r>
      <w:r w:rsidR="007B48E5">
        <w:rPr>
          <w:rFonts w:ascii="Times New Roman" w:hAnsi="Times New Roman" w:cs="Times New Roman"/>
        </w:rPr>
        <w:t xml:space="preserve"> </w:t>
      </w:r>
      <w:r w:rsidR="00074B7F">
        <w:rPr>
          <w:rFonts w:ascii="Times New Roman" w:hAnsi="Times New Roman" w:cs="Times New Roman"/>
        </w:rPr>
        <w:t>qua</w:t>
      </w:r>
      <w:r w:rsidR="006411FC">
        <w:rPr>
          <w:rFonts w:ascii="Times New Roman" w:hAnsi="Times New Roman" w:cs="Times New Roman"/>
        </w:rPr>
        <w:t>ntitativa</w:t>
      </w:r>
      <w:r w:rsidR="00CD2426">
        <w:rPr>
          <w:rFonts w:ascii="Times New Roman" w:hAnsi="Times New Roman" w:cs="Times New Roman"/>
        </w:rPr>
        <w:t xml:space="preserve">. Conforme </w:t>
      </w:r>
      <w:proofErr w:type="spellStart"/>
      <w:r w:rsidR="00CD2426">
        <w:rPr>
          <w:rFonts w:ascii="Times New Roman" w:hAnsi="Times New Roman" w:cs="Times New Roman"/>
        </w:rPr>
        <w:t>Creswell</w:t>
      </w:r>
      <w:proofErr w:type="spellEnd"/>
      <w:r w:rsidR="00CD2426">
        <w:rPr>
          <w:rFonts w:ascii="Times New Roman" w:hAnsi="Times New Roman" w:cs="Times New Roman"/>
        </w:rPr>
        <w:t xml:space="preserve"> (2010) a metodologia mista</w:t>
      </w:r>
      <w:r w:rsidR="007B48E5">
        <w:rPr>
          <w:rFonts w:ascii="Times New Roman" w:hAnsi="Times New Roman" w:cs="Times New Roman"/>
        </w:rPr>
        <w:t xml:space="preserve"> é uma abordagem de investigação que combina as formas qualitativa e quantitativa, sendo a primeira um meio de explorar ou entender o</w:t>
      </w:r>
      <w:r w:rsidR="00E477C5">
        <w:rPr>
          <w:rFonts w:ascii="Times New Roman" w:hAnsi="Times New Roman" w:cs="Times New Roman"/>
        </w:rPr>
        <w:t xml:space="preserve"> significado</w:t>
      </w:r>
      <w:r w:rsidR="007B48E5">
        <w:rPr>
          <w:rFonts w:ascii="Times New Roman" w:hAnsi="Times New Roman" w:cs="Times New Roman"/>
        </w:rPr>
        <w:t xml:space="preserve"> atribu</w:t>
      </w:r>
      <w:r w:rsidR="00405A69">
        <w:rPr>
          <w:rFonts w:ascii="Times New Roman" w:hAnsi="Times New Roman" w:cs="Times New Roman"/>
        </w:rPr>
        <w:t>ído</w:t>
      </w:r>
      <w:r w:rsidR="007B48E5">
        <w:rPr>
          <w:rFonts w:ascii="Times New Roman" w:hAnsi="Times New Roman" w:cs="Times New Roman"/>
        </w:rPr>
        <w:t xml:space="preserve"> a problemas sociais</w:t>
      </w:r>
      <w:r w:rsidR="004024DB">
        <w:rPr>
          <w:rFonts w:ascii="Times New Roman" w:hAnsi="Times New Roman" w:cs="Times New Roman"/>
        </w:rPr>
        <w:t>;</w:t>
      </w:r>
      <w:r w:rsidR="007B48E5">
        <w:rPr>
          <w:rFonts w:ascii="Times New Roman" w:hAnsi="Times New Roman" w:cs="Times New Roman"/>
        </w:rPr>
        <w:t xml:space="preserve"> e </w:t>
      </w:r>
      <w:r w:rsidR="00405A69">
        <w:rPr>
          <w:rFonts w:ascii="Times New Roman" w:hAnsi="Times New Roman" w:cs="Times New Roman"/>
        </w:rPr>
        <w:t>a</w:t>
      </w:r>
      <w:r w:rsidR="007B48E5">
        <w:rPr>
          <w:rFonts w:ascii="Times New Roman" w:hAnsi="Times New Roman" w:cs="Times New Roman"/>
        </w:rPr>
        <w:t xml:space="preserve"> segund</w:t>
      </w:r>
      <w:r w:rsidR="00405A69">
        <w:rPr>
          <w:rFonts w:ascii="Times New Roman" w:hAnsi="Times New Roman" w:cs="Times New Roman"/>
        </w:rPr>
        <w:t>a</w:t>
      </w:r>
      <w:r w:rsidR="007B48E5">
        <w:rPr>
          <w:rFonts w:ascii="Times New Roman" w:hAnsi="Times New Roman" w:cs="Times New Roman"/>
        </w:rPr>
        <w:t xml:space="preserve"> um meio de testar teorias objetivas examinando a relação entre variáveis</w:t>
      </w:r>
      <w:r w:rsidR="00C4721A">
        <w:rPr>
          <w:rFonts w:ascii="Times New Roman" w:hAnsi="Times New Roman" w:cs="Times New Roman"/>
        </w:rPr>
        <w:t>.</w:t>
      </w:r>
      <w:r w:rsidR="00CD2426">
        <w:rPr>
          <w:rFonts w:ascii="Times New Roman" w:hAnsi="Times New Roman" w:cs="Times New Roman"/>
        </w:rPr>
        <w:t xml:space="preserve"> </w:t>
      </w:r>
      <w:r w:rsidR="00074B7F">
        <w:rPr>
          <w:rFonts w:ascii="Times New Roman" w:hAnsi="Times New Roman" w:cs="Times New Roman"/>
        </w:rPr>
        <w:t xml:space="preserve">  </w:t>
      </w:r>
    </w:p>
    <w:p w14:paraId="0BC39540" w14:textId="608DC3FB" w:rsidR="00C95940" w:rsidRDefault="00607A1D" w:rsidP="00F83A22">
      <w:pPr>
        <w:spacing w:after="120"/>
        <w:ind w:firstLine="709"/>
        <w:jc w:val="both"/>
        <w:rPr>
          <w:rFonts w:ascii="Times New Roman" w:hAnsi="Times New Roman" w:cs="Times New Roman"/>
        </w:rPr>
      </w:pPr>
      <w:r>
        <w:rPr>
          <w:rFonts w:ascii="Times New Roman" w:hAnsi="Times New Roman" w:cs="Times New Roman"/>
        </w:rPr>
        <w:t xml:space="preserve">Segundo a classificação proposta por </w:t>
      </w:r>
      <w:proofErr w:type="spellStart"/>
      <w:r>
        <w:rPr>
          <w:rFonts w:ascii="Times New Roman" w:hAnsi="Times New Roman" w:cs="Times New Roman"/>
        </w:rPr>
        <w:t>Pohlmann</w:t>
      </w:r>
      <w:proofErr w:type="spellEnd"/>
      <w:r>
        <w:rPr>
          <w:rFonts w:ascii="Times New Roman" w:hAnsi="Times New Roman" w:cs="Times New Roman"/>
        </w:rPr>
        <w:t xml:space="preserve"> e </w:t>
      </w:r>
      <w:proofErr w:type="spellStart"/>
      <w:r>
        <w:rPr>
          <w:rFonts w:ascii="Times New Roman" w:hAnsi="Times New Roman" w:cs="Times New Roman"/>
        </w:rPr>
        <w:t>Iudícibus</w:t>
      </w:r>
      <w:proofErr w:type="spellEnd"/>
      <w:r>
        <w:rPr>
          <w:rFonts w:ascii="Times New Roman" w:hAnsi="Times New Roman" w:cs="Times New Roman"/>
        </w:rPr>
        <w:t xml:space="preserve"> (2006) para as pesquisas tributárias, este estudo é do tipo teórico-empíric</w:t>
      </w:r>
      <w:r w:rsidR="004024DB">
        <w:rPr>
          <w:rFonts w:ascii="Times New Roman" w:hAnsi="Times New Roman" w:cs="Times New Roman"/>
        </w:rPr>
        <w:t>o</w:t>
      </w:r>
      <w:r>
        <w:rPr>
          <w:rFonts w:ascii="Times New Roman" w:hAnsi="Times New Roman" w:cs="Times New Roman"/>
        </w:rPr>
        <w:t xml:space="preserve"> porquanto abrange um trabalho teórico e </w:t>
      </w:r>
      <w:r w:rsidR="00405A69">
        <w:rPr>
          <w:rFonts w:ascii="Times New Roman" w:hAnsi="Times New Roman" w:cs="Times New Roman"/>
        </w:rPr>
        <w:t xml:space="preserve">outro </w:t>
      </w:r>
      <w:r>
        <w:rPr>
          <w:rFonts w:ascii="Times New Roman" w:hAnsi="Times New Roman" w:cs="Times New Roman"/>
        </w:rPr>
        <w:t>empírico</w:t>
      </w:r>
      <w:r w:rsidR="004024DB">
        <w:rPr>
          <w:rFonts w:ascii="Times New Roman" w:hAnsi="Times New Roman" w:cs="Times New Roman"/>
        </w:rPr>
        <w:t xml:space="preserve"> </w:t>
      </w:r>
      <w:r>
        <w:rPr>
          <w:rFonts w:ascii="Times New Roman" w:hAnsi="Times New Roman" w:cs="Times New Roman"/>
        </w:rPr>
        <w:t>(DEMO, 1985</w:t>
      </w:r>
      <w:r w:rsidR="009A2FFF" w:rsidRPr="009A2FFF">
        <w:rPr>
          <w:rFonts w:ascii="Times New Roman" w:hAnsi="Times New Roman" w:cs="Times New Roman"/>
        </w:rPr>
        <w:t xml:space="preserve"> </w:t>
      </w:r>
      <w:r w:rsidR="009A2FFF" w:rsidRPr="00607A1D">
        <w:rPr>
          <w:rFonts w:ascii="Times New Roman" w:hAnsi="Times New Roman" w:cs="Times New Roman"/>
          <w:i/>
          <w:iCs/>
        </w:rPr>
        <w:t>apud</w:t>
      </w:r>
      <w:r w:rsidR="009A2FFF">
        <w:rPr>
          <w:rFonts w:ascii="Times New Roman" w:hAnsi="Times New Roman" w:cs="Times New Roman"/>
        </w:rPr>
        <w:t xml:space="preserve"> POHLMANN &amp; IUDÍCIBUS, 2006</w:t>
      </w:r>
      <w:r>
        <w:rPr>
          <w:rFonts w:ascii="Times New Roman" w:hAnsi="Times New Roman" w:cs="Times New Roman"/>
        </w:rPr>
        <w:t xml:space="preserve">). A metodologia </w:t>
      </w:r>
      <w:r w:rsidR="00074B7F">
        <w:rPr>
          <w:rFonts w:ascii="Times New Roman" w:hAnsi="Times New Roman" w:cs="Times New Roman"/>
        </w:rPr>
        <w:t xml:space="preserve">utilizada </w:t>
      </w:r>
      <w:r>
        <w:rPr>
          <w:rFonts w:ascii="Times New Roman" w:hAnsi="Times New Roman" w:cs="Times New Roman"/>
        </w:rPr>
        <w:t>foi empírico</w:t>
      </w:r>
      <w:r w:rsidR="00137820">
        <w:rPr>
          <w:rFonts w:ascii="Times New Roman" w:hAnsi="Times New Roman" w:cs="Times New Roman"/>
        </w:rPr>
        <w:t>-</w:t>
      </w:r>
      <w:proofErr w:type="spellStart"/>
      <w:r>
        <w:rPr>
          <w:rFonts w:ascii="Times New Roman" w:hAnsi="Times New Roman" w:cs="Times New Roman"/>
        </w:rPr>
        <w:t>arquival</w:t>
      </w:r>
      <w:proofErr w:type="spellEnd"/>
      <w:r w:rsidR="00137820">
        <w:rPr>
          <w:rFonts w:ascii="Times New Roman" w:hAnsi="Times New Roman" w:cs="Times New Roman"/>
        </w:rPr>
        <w:t xml:space="preserve">, </w:t>
      </w:r>
      <w:r w:rsidR="00074B7F">
        <w:rPr>
          <w:rFonts w:ascii="Times New Roman" w:hAnsi="Times New Roman" w:cs="Times New Roman"/>
        </w:rPr>
        <w:t>também denominada de</w:t>
      </w:r>
      <w:r w:rsidR="00137820">
        <w:rPr>
          <w:rFonts w:ascii="Times New Roman" w:hAnsi="Times New Roman" w:cs="Times New Roman"/>
        </w:rPr>
        <w:t xml:space="preserve"> pesquisa de arquivo, </w:t>
      </w:r>
      <w:r w:rsidR="0036627A">
        <w:rPr>
          <w:rFonts w:ascii="Times New Roman" w:hAnsi="Times New Roman" w:cs="Times New Roman"/>
        </w:rPr>
        <w:t>uma vez</w:t>
      </w:r>
      <w:r w:rsidR="00137820">
        <w:rPr>
          <w:rFonts w:ascii="Times New Roman" w:hAnsi="Times New Roman" w:cs="Times New Roman"/>
        </w:rPr>
        <w:t xml:space="preserve"> que a coleta dos dados foi realizada </w:t>
      </w:r>
      <w:r w:rsidR="005472EF">
        <w:rPr>
          <w:rFonts w:ascii="Times New Roman" w:hAnsi="Times New Roman" w:cs="Times New Roman"/>
        </w:rPr>
        <w:t>a partir das</w:t>
      </w:r>
      <w:r w:rsidR="00137820">
        <w:rPr>
          <w:rFonts w:ascii="Times New Roman" w:hAnsi="Times New Roman" w:cs="Times New Roman"/>
        </w:rPr>
        <w:t xml:space="preserve"> demonstrações financeiras</w:t>
      </w:r>
      <w:r w:rsidR="004024DB">
        <w:rPr>
          <w:rFonts w:ascii="Times New Roman" w:hAnsi="Times New Roman" w:cs="Times New Roman"/>
        </w:rPr>
        <w:t xml:space="preserve"> </w:t>
      </w:r>
      <w:r w:rsidR="00137820">
        <w:rPr>
          <w:rFonts w:ascii="Times New Roman" w:hAnsi="Times New Roman" w:cs="Times New Roman"/>
        </w:rPr>
        <w:t xml:space="preserve">divulgadas pelas companhias incluídas na </w:t>
      </w:r>
      <w:r w:rsidR="0036627A">
        <w:rPr>
          <w:rFonts w:ascii="Times New Roman" w:hAnsi="Times New Roman" w:cs="Times New Roman"/>
        </w:rPr>
        <w:t>população estudada</w:t>
      </w:r>
      <w:r w:rsidR="00137820">
        <w:rPr>
          <w:rFonts w:ascii="Times New Roman" w:hAnsi="Times New Roman" w:cs="Times New Roman"/>
        </w:rPr>
        <w:t xml:space="preserve">. A temática da pesquisa pode ser classificada em duas linhas propostas por </w:t>
      </w:r>
      <w:proofErr w:type="spellStart"/>
      <w:r w:rsidR="00137820">
        <w:rPr>
          <w:rFonts w:ascii="Times New Roman" w:hAnsi="Times New Roman" w:cs="Times New Roman"/>
        </w:rPr>
        <w:t>Pohlmann</w:t>
      </w:r>
      <w:proofErr w:type="spellEnd"/>
      <w:r w:rsidR="00137820">
        <w:rPr>
          <w:rFonts w:ascii="Times New Roman" w:hAnsi="Times New Roman" w:cs="Times New Roman"/>
        </w:rPr>
        <w:t xml:space="preserve"> e </w:t>
      </w:r>
      <w:proofErr w:type="spellStart"/>
      <w:r w:rsidR="00137820">
        <w:rPr>
          <w:rFonts w:ascii="Times New Roman" w:hAnsi="Times New Roman" w:cs="Times New Roman"/>
        </w:rPr>
        <w:t>Iudícibus</w:t>
      </w:r>
      <w:proofErr w:type="spellEnd"/>
      <w:r w:rsidR="00137820">
        <w:rPr>
          <w:rFonts w:ascii="Times New Roman" w:hAnsi="Times New Roman" w:cs="Times New Roman"/>
        </w:rPr>
        <w:t xml:space="preserve"> (2006), a saber</w:t>
      </w:r>
      <w:r w:rsidR="004024DB">
        <w:rPr>
          <w:rFonts w:ascii="Times New Roman" w:hAnsi="Times New Roman" w:cs="Times New Roman"/>
        </w:rPr>
        <w:t>,</w:t>
      </w:r>
      <w:r w:rsidR="006C43AB">
        <w:rPr>
          <w:rFonts w:ascii="Times New Roman" w:hAnsi="Times New Roman" w:cs="Times New Roman"/>
        </w:rPr>
        <w:t xml:space="preserve"> </w:t>
      </w:r>
      <w:r w:rsidR="00137820">
        <w:rPr>
          <w:rFonts w:ascii="Times New Roman" w:hAnsi="Times New Roman" w:cs="Times New Roman"/>
        </w:rPr>
        <w:t>tributação ótima e eficiência econômica dos tributos</w:t>
      </w:r>
      <w:r w:rsidR="006C43AB">
        <w:rPr>
          <w:rFonts w:ascii="Times New Roman" w:hAnsi="Times New Roman" w:cs="Times New Roman"/>
        </w:rPr>
        <w:t>;</w:t>
      </w:r>
      <w:r w:rsidR="00137820">
        <w:rPr>
          <w:rFonts w:ascii="Times New Roman" w:hAnsi="Times New Roman" w:cs="Times New Roman"/>
        </w:rPr>
        <w:t xml:space="preserve"> e</w:t>
      </w:r>
      <w:r w:rsidR="006C43AB">
        <w:rPr>
          <w:rFonts w:ascii="Times New Roman" w:hAnsi="Times New Roman" w:cs="Times New Roman"/>
        </w:rPr>
        <w:t xml:space="preserve"> </w:t>
      </w:r>
      <w:r w:rsidR="00137820">
        <w:rPr>
          <w:rFonts w:ascii="Times New Roman" w:hAnsi="Times New Roman" w:cs="Times New Roman"/>
        </w:rPr>
        <w:t xml:space="preserve">pesquisa legal, do tipo jurídico-tributária. </w:t>
      </w:r>
    </w:p>
    <w:p w14:paraId="604998F6" w14:textId="61721CAF" w:rsidR="0005519C" w:rsidRDefault="00B87594" w:rsidP="00F83A22">
      <w:pPr>
        <w:spacing w:after="120"/>
        <w:ind w:firstLine="709"/>
        <w:jc w:val="both"/>
        <w:rPr>
          <w:rFonts w:ascii="Times New Roman" w:hAnsi="Times New Roman" w:cs="Times New Roman"/>
        </w:rPr>
      </w:pPr>
      <w:r>
        <w:rPr>
          <w:rFonts w:ascii="Times New Roman" w:hAnsi="Times New Roman" w:cs="Times New Roman"/>
        </w:rPr>
        <w:t>Na</w:t>
      </w:r>
      <w:r w:rsidR="00C95940">
        <w:rPr>
          <w:rFonts w:ascii="Times New Roman" w:hAnsi="Times New Roman" w:cs="Times New Roman"/>
        </w:rPr>
        <w:t xml:space="preserve"> pesquisa quantitativa </w:t>
      </w:r>
      <w:r>
        <w:rPr>
          <w:rFonts w:ascii="Times New Roman" w:hAnsi="Times New Roman" w:cs="Times New Roman"/>
        </w:rPr>
        <w:t>foi</w:t>
      </w:r>
      <w:r w:rsidR="00976B90">
        <w:rPr>
          <w:rFonts w:ascii="Times New Roman" w:hAnsi="Times New Roman" w:cs="Times New Roman"/>
        </w:rPr>
        <w:t xml:space="preserve"> aferi</w:t>
      </w:r>
      <w:r>
        <w:rPr>
          <w:rFonts w:ascii="Times New Roman" w:hAnsi="Times New Roman" w:cs="Times New Roman"/>
        </w:rPr>
        <w:t>da</w:t>
      </w:r>
      <w:r w:rsidR="003A1309">
        <w:rPr>
          <w:rFonts w:ascii="Times New Roman" w:hAnsi="Times New Roman" w:cs="Times New Roman"/>
        </w:rPr>
        <w:t xml:space="preserve"> </w:t>
      </w:r>
      <w:r w:rsidR="00976B90">
        <w:rPr>
          <w:rFonts w:ascii="Times New Roman" w:hAnsi="Times New Roman" w:cs="Times New Roman"/>
        </w:rPr>
        <w:t>a neutralidade da Lei nº 12.973</w:t>
      </w:r>
      <w:r w:rsidR="009B6610">
        <w:rPr>
          <w:rFonts w:ascii="Times New Roman" w:hAnsi="Times New Roman" w:cs="Times New Roman"/>
        </w:rPr>
        <w:t>/</w:t>
      </w:r>
      <w:r w:rsidR="00976B90">
        <w:rPr>
          <w:rFonts w:ascii="Times New Roman" w:hAnsi="Times New Roman" w:cs="Times New Roman"/>
        </w:rPr>
        <w:t>2014</w:t>
      </w:r>
      <w:r w:rsidR="00907521">
        <w:rPr>
          <w:rFonts w:ascii="Times New Roman" w:hAnsi="Times New Roman" w:cs="Times New Roman"/>
        </w:rPr>
        <w:t xml:space="preserve"> </w:t>
      </w:r>
      <w:r w:rsidR="00405A69">
        <w:rPr>
          <w:rFonts w:ascii="Times New Roman" w:hAnsi="Times New Roman" w:cs="Times New Roman"/>
        </w:rPr>
        <w:t>mediante</w:t>
      </w:r>
      <w:r w:rsidR="00907521">
        <w:rPr>
          <w:rFonts w:ascii="Times New Roman" w:hAnsi="Times New Roman" w:cs="Times New Roman"/>
        </w:rPr>
        <w:t xml:space="preserve"> </w:t>
      </w:r>
      <w:r w:rsidR="003A1309">
        <w:rPr>
          <w:rFonts w:ascii="Times New Roman" w:hAnsi="Times New Roman" w:cs="Times New Roman"/>
        </w:rPr>
        <w:t>o</w:t>
      </w:r>
      <w:r w:rsidR="006C43AB">
        <w:rPr>
          <w:rFonts w:ascii="Times New Roman" w:hAnsi="Times New Roman" w:cs="Times New Roman"/>
        </w:rPr>
        <w:t xml:space="preserve"> cálculo </w:t>
      </w:r>
      <w:r w:rsidR="005472EF">
        <w:rPr>
          <w:rFonts w:ascii="Times New Roman" w:hAnsi="Times New Roman" w:cs="Times New Roman"/>
        </w:rPr>
        <w:t>da</w:t>
      </w:r>
      <w:r w:rsidR="0036627A">
        <w:rPr>
          <w:rFonts w:ascii="Times New Roman" w:hAnsi="Times New Roman" w:cs="Times New Roman"/>
        </w:rPr>
        <w:t xml:space="preserve">s cargas tributárias corrente e total </w:t>
      </w:r>
      <w:r w:rsidR="0046160B">
        <w:rPr>
          <w:rFonts w:ascii="Times New Roman" w:hAnsi="Times New Roman" w:cs="Times New Roman"/>
        </w:rPr>
        <w:t xml:space="preserve">no quinquênio de 2015 a 2019 </w:t>
      </w:r>
      <w:r w:rsidR="005472EF">
        <w:rPr>
          <w:rFonts w:ascii="Times New Roman" w:hAnsi="Times New Roman" w:cs="Times New Roman"/>
        </w:rPr>
        <w:t>e</w:t>
      </w:r>
      <w:r w:rsidR="00A170EA">
        <w:rPr>
          <w:rFonts w:ascii="Times New Roman" w:hAnsi="Times New Roman" w:cs="Times New Roman"/>
        </w:rPr>
        <w:t xml:space="preserve"> </w:t>
      </w:r>
      <w:r w:rsidR="0046160B">
        <w:rPr>
          <w:rFonts w:ascii="Times New Roman" w:hAnsi="Times New Roman" w:cs="Times New Roman"/>
        </w:rPr>
        <w:t>sua</w:t>
      </w:r>
      <w:r w:rsidR="005472EF">
        <w:rPr>
          <w:rFonts w:ascii="Times New Roman" w:hAnsi="Times New Roman" w:cs="Times New Roman"/>
        </w:rPr>
        <w:t xml:space="preserve"> </w:t>
      </w:r>
      <w:r w:rsidR="00907521">
        <w:rPr>
          <w:rFonts w:ascii="Times New Roman" w:hAnsi="Times New Roman" w:cs="Times New Roman"/>
        </w:rPr>
        <w:t>comparação</w:t>
      </w:r>
      <w:r w:rsidR="0046160B">
        <w:rPr>
          <w:rFonts w:ascii="Times New Roman" w:hAnsi="Times New Roman" w:cs="Times New Roman"/>
        </w:rPr>
        <w:t xml:space="preserve"> com o quinquênio de 2010 a 2014</w:t>
      </w:r>
      <w:r w:rsidR="00907521">
        <w:rPr>
          <w:rFonts w:ascii="Times New Roman" w:hAnsi="Times New Roman" w:cs="Times New Roman"/>
        </w:rPr>
        <w:t xml:space="preserve"> </w:t>
      </w:r>
      <w:r w:rsidR="0046160B">
        <w:rPr>
          <w:rFonts w:ascii="Times New Roman" w:hAnsi="Times New Roman" w:cs="Times New Roman"/>
        </w:rPr>
        <w:t>(</w:t>
      </w:r>
      <w:r w:rsidR="00C95940">
        <w:rPr>
          <w:rFonts w:ascii="Times New Roman" w:hAnsi="Times New Roman" w:cs="Times New Roman"/>
        </w:rPr>
        <w:t>RTT</w:t>
      </w:r>
      <w:r w:rsidR="0046160B">
        <w:rPr>
          <w:rFonts w:ascii="Times New Roman" w:hAnsi="Times New Roman" w:cs="Times New Roman"/>
        </w:rPr>
        <w:t>)</w:t>
      </w:r>
      <w:r w:rsidR="00907521">
        <w:rPr>
          <w:rFonts w:ascii="Times New Roman" w:hAnsi="Times New Roman" w:cs="Times New Roman"/>
        </w:rPr>
        <w:t xml:space="preserve">, </w:t>
      </w:r>
      <w:r w:rsidR="003A1309">
        <w:rPr>
          <w:rFonts w:ascii="Times New Roman" w:hAnsi="Times New Roman" w:cs="Times New Roman"/>
        </w:rPr>
        <w:t xml:space="preserve">utilizando </w:t>
      </w:r>
      <w:r w:rsidR="00C95940">
        <w:rPr>
          <w:rFonts w:ascii="Times New Roman" w:hAnsi="Times New Roman" w:cs="Times New Roman"/>
        </w:rPr>
        <w:t xml:space="preserve">o </w:t>
      </w:r>
      <w:r w:rsidR="003A1309">
        <w:rPr>
          <w:rFonts w:ascii="Times New Roman" w:hAnsi="Times New Roman" w:cs="Times New Roman"/>
        </w:rPr>
        <w:t>teste estatístico não-paramétrico</w:t>
      </w:r>
      <w:r w:rsidR="00C95940">
        <w:rPr>
          <w:rFonts w:ascii="Times New Roman" w:hAnsi="Times New Roman" w:cs="Times New Roman"/>
        </w:rPr>
        <w:t xml:space="preserve"> de </w:t>
      </w:r>
      <w:proofErr w:type="spellStart"/>
      <w:r w:rsidR="00C95940" w:rsidRPr="000F4C71">
        <w:rPr>
          <w:rFonts w:ascii="Times New Roman" w:hAnsi="Times New Roman" w:cs="Times New Roman"/>
        </w:rPr>
        <w:t>Wilcoxon</w:t>
      </w:r>
      <w:proofErr w:type="spellEnd"/>
      <w:r w:rsidR="0005519C">
        <w:rPr>
          <w:rFonts w:ascii="Times New Roman" w:hAnsi="Times New Roman" w:cs="Times New Roman"/>
        </w:rPr>
        <w:t xml:space="preserve"> para </w:t>
      </w:r>
      <w:r>
        <w:rPr>
          <w:rFonts w:ascii="Times New Roman" w:hAnsi="Times New Roman" w:cs="Times New Roman"/>
        </w:rPr>
        <w:t>verificar</w:t>
      </w:r>
      <w:r w:rsidR="0005519C">
        <w:rPr>
          <w:rFonts w:ascii="Times New Roman" w:hAnsi="Times New Roman" w:cs="Times New Roman"/>
        </w:rPr>
        <w:t xml:space="preserve"> se a variação </w:t>
      </w:r>
      <w:r w:rsidR="0036627A">
        <w:rPr>
          <w:rFonts w:ascii="Times New Roman" w:hAnsi="Times New Roman" w:cs="Times New Roman"/>
        </w:rPr>
        <w:t xml:space="preserve">ocorrida </w:t>
      </w:r>
      <w:r w:rsidR="0005519C">
        <w:rPr>
          <w:rFonts w:ascii="Times New Roman" w:hAnsi="Times New Roman" w:cs="Times New Roman"/>
        </w:rPr>
        <w:t xml:space="preserve">foi estatisticamente significativa nas companhias </w:t>
      </w:r>
      <w:r w:rsidR="004024DB">
        <w:rPr>
          <w:rFonts w:ascii="Times New Roman" w:hAnsi="Times New Roman" w:cs="Times New Roman"/>
        </w:rPr>
        <w:t>pesquisadas</w:t>
      </w:r>
      <w:r w:rsidR="0005519C">
        <w:rPr>
          <w:rFonts w:ascii="Times New Roman" w:hAnsi="Times New Roman" w:cs="Times New Roman"/>
        </w:rPr>
        <w:t>, divididas em setores econômicos.</w:t>
      </w:r>
    </w:p>
    <w:p w14:paraId="788C78D6" w14:textId="1ABD42AF" w:rsidR="005F06D3" w:rsidRDefault="005F06D3" w:rsidP="00F83A22">
      <w:pPr>
        <w:spacing w:after="120"/>
        <w:ind w:firstLine="709"/>
        <w:jc w:val="both"/>
        <w:rPr>
          <w:rFonts w:ascii="Times New Roman" w:hAnsi="Times New Roman" w:cs="Times New Roman"/>
        </w:rPr>
      </w:pPr>
      <w:r>
        <w:rPr>
          <w:rFonts w:ascii="Times New Roman" w:hAnsi="Times New Roman" w:cs="Times New Roman"/>
        </w:rPr>
        <w:t xml:space="preserve">Foram incluídas na </w:t>
      </w:r>
      <w:r w:rsidR="0036627A">
        <w:rPr>
          <w:rFonts w:ascii="Times New Roman" w:hAnsi="Times New Roman" w:cs="Times New Roman"/>
        </w:rPr>
        <w:t>população</w:t>
      </w:r>
      <w:r>
        <w:rPr>
          <w:rFonts w:ascii="Times New Roman" w:hAnsi="Times New Roman" w:cs="Times New Roman"/>
        </w:rPr>
        <w:t xml:space="preserve"> de pesquisa as </w:t>
      </w:r>
      <w:r w:rsidR="006A4EFE">
        <w:rPr>
          <w:rFonts w:ascii="Times New Roman" w:hAnsi="Times New Roman" w:cs="Times New Roman"/>
        </w:rPr>
        <w:t>sociedades anônimas</w:t>
      </w:r>
      <w:r>
        <w:rPr>
          <w:rFonts w:ascii="Times New Roman" w:hAnsi="Times New Roman" w:cs="Times New Roman"/>
        </w:rPr>
        <w:t xml:space="preserve"> listadas no cadastro aberto da C</w:t>
      </w:r>
      <w:r w:rsidR="005A60BB">
        <w:rPr>
          <w:rFonts w:ascii="Times New Roman" w:hAnsi="Times New Roman" w:cs="Times New Roman"/>
        </w:rPr>
        <w:t xml:space="preserve">omissão de </w:t>
      </w:r>
      <w:r>
        <w:rPr>
          <w:rFonts w:ascii="Times New Roman" w:hAnsi="Times New Roman" w:cs="Times New Roman"/>
        </w:rPr>
        <w:t>V</w:t>
      </w:r>
      <w:r w:rsidR="005A60BB">
        <w:rPr>
          <w:rFonts w:ascii="Times New Roman" w:hAnsi="Times New Roman" w:cs="Times New Roman"/>
        </w:rPr>
        <w:t xml:space="preserve">alores </w:t>
      </w:r>
      <w:r>
        <w:rPr>
          <w:rFonts w:ascii="Times New Roman" w:hAnsi="Times New Roman" w:cs="Times New Roman"/>
        </w:rPr>
        <w:t>M</w:t>
      </w:r>
      <w:r w:rsidR="005A60BB">
        <w:rPr>
          <w:rFonts w:ascii="Times New Roman" w:hAnsi="Times New Roman" w:cs="Times New Roman"/>
        </w:rPr>
        <w:t>obiliários</w:t>
      </w:r>
      <w:r>
        <w:rPr>
          <w:rFonts w:ascii="Times New Roman" w:hAnsi="Times New Roman" w:cs="Times New Roman"/>
        </w:rPr>
        <w:t xml:space="preserve"> (</w:t>
      </w:r>
      <w:r w:rsidR="005A60BB">
        <w:rPr>
          <w:rFonts w:ascii="Times New Roman" w:hAnsi="Times New Roman" w:cs="Times New Roman"/>
        </w:rPr>
        <w:t xml:space="preserve">CVM, </w:t>
      </w:r>
      <w:r>
        <w:rPr>
          <w:rFonts w:ascii="Times New Roman" w:hAnsi="Times New Roman" w:cs="Times New Roman"/>
        </w:rPr>
        <w:t xml:space="preserve">2020), inclusive </w:t>
      </w:r>
      <w:r w:rsidR="00A5697D">
        <w:rPr>
          <w:rFonts w:ascii="Times New Roman" w:hAnsi="Times New Roman" w:cs="Times New Roman"/>
        </w:rPr>
        <w:t>as</w:t>
      </w:r>
      <w:r>
        <w:rPr>
          <w:rFonts w:ascii="Times New Roman" w:hAnsi="Times New Roman" w:cs="Times New Roman"/>
        </w:rPr>
        <w:t xml:space="preserve"> que atualmente se encontram com o registro de companhia aberta cancelado. Houve a exclusão das companhias que</w:t>
      </w:r>
      <w:r w:rsidR="00055799">
        <w:rPr>
          <w:rFonts w:ascii="Times New Roman" w:hAnsi="Times New Roman" w:cs="Times New Roman"/>
        </w:rPr>
        <w:t>, no período de 2010 a 2019</w:t>
      </w:r>
      <w:r w:rsidR="006344E2">
        <w:rPr>
          <w:rFonts w:ascii="Times New Roman" w:hAnsi="Times New Roman" w:cs="Times New Roman"/>
        </w:rPr>
        <w:t>:</w:t>
      </w:r>
      <w:r w:rsidR="0036627A">
        <w:rPr>
          <w:rFonts w:ascii="Times New Roman" w:hAnsi="Times New Roman" w:cs="Times New Roman"/>
        </w:rPr>
        <w:t xml:space="preserve"> a) </w:t>
      </w:r>
      <w:r>
        <w:rPr>
          <w:rFonts w:ascii="Times New Roman" w:hAnsi="Times New Roman" w:cs="Times New Roman"/>
        </w:rPr>
        <w:t xml:space="preserve">não apresentaram </w:t>
      </w:r>
      <w:r w:rsidR="00055799">
        <w:rPr>
          <w:rFonts w:ascii="Times New Roman" w:hAnsi="Times New Roman" w:cs="Times New Roman"/>
        </w:rPr>
        <w:t>a</w:t>
      </w:r>
      <w:r>
        <w:rPr>
          <w:rFonts w:ascii="Times New Roman" w:hAnsi="Times New Roman" w:cs="Times New Roman"/>
        </w:rPr>
        <w:t>s Demonstrações Financeiras Padronizadas – DFP</w:t>
      </w:r>
      <w:r w:rsidR="006344E2">
        <w:rPr>
          <w:rFonts w:ascii="Times New Roman" w:hAnsi="Times New Roman" w:cs="Times New Roman"/>
        </w:rPr>
        <w:t>;</w:t>
      </w:r>
      <w:r w:rsidR="0036627A">
        <w:rPr>
          <w:rFonts w:ascii="Times New Roman" w:hAnsi="Times New Roman" w:cs="Times New Roman"/>
        </w:rPr>
        <w:t xml:space="preserve"> b) </w:t>
      </w:r>
      <w:r w:rsidR="006344E2">
        <w:rPr>
          <w:rFonts w:ascii="Times New Roman" w:hAnsi="Times New Roman" w:cs="Times New Roman"/>
        </w:rPr>
        <w:t>não auferiram receita líquida superior a R$ 78 milhões</w:t>
      </w:r>
      <w:r w:rsidR="00A5697D">
        <w:rPr>
          <w:rFonts w:ascii="Times New Roman" w:hAnsi="Times New Roman" w:cs="Times New Roman"/>
        </w:rPr>
        <w:t>,</w:t>
      </w:r>
      <w:r w:rsidR="00055799">
        <w:rPr>
          <w:rFonts w:ascii="Times New Roman" w:hAnsi="Times New Roman" w:cs="Times New Roman"/>
        </w:rPr>
        <w:t xml:space="preserve"> em qualquer dos anos-calendário</w:t>
      </w:r>
      <w:r w:rsidR="006344E2">
        <w:rPr>
          <w:rFonts w:ascii="Times New Roman" w:hAnsi="Times New Roman" w:cs="Times New Roman"/>
        </w:rPr>
        <w:t>;</w:t>
      </w:r>
      <w:r w:rsidR="0036627A">
        <w:rPr>
          <w:rFonts w:ascii="Times New Roman" w:hAnsi="Times New Roman" w:cs="Times New Roman"/>
        </w:rPr>
        <w:t xml:space="preserve"> c) </w:t>
      </w:r>
      <w:r w:rsidR="006344E2">
        <w:rPr>
          <w:rFonts w:ascii="Times New Roman" w:hAnsi="Times New Roman" w:cs="Times New Roman"/>
        </w:rPr>
        <w:t xml:space="preserve">foram </w:t>
      </w:r>
      <w:r w:rsidR="006A4EFE">
        <w:rPr>
          <w:rFonts w:ascii="Times New Roman" w:hAnsi="Times New Roman" w:cs="Times New Roman"/>
        </w:rPr>
        <w:t>extintas</w:t>
      </w:r>
      <w:r w:rsidR="00055799">
        <w:rPr>
          <w:rFonts w:ascii="Times New Roman" w:hAnsi="Times New Roman" w:cs="Times New Roman"/>
        </w:rPr>
        <w:t>,</w:t>
      </w:r>
      <w:r w:rsidR="00C83281">
        <w:rPr>
          <w:rFonts w:ascii="Times New Roman" w:hAnsi="Times New Roman" w:cs="Times New Roman"/>
        </w:rPr>
        <w:t xml:space="preserve"> por qualquer motivo</w:t>
      </w:r>
      <w:r w:rsidR="00055799">
        <w:rPr>
          <w:rFonts w:ascii="Times New Roman" w:hAnsi="Times New Roman" w:cs="Times New Roman"/>
        </w:rPr>
        <w:t>;</w:t>
      </w:r>
      <w:r w:rsidR="006344E2">
        <w:rPr>
          <w:rFonts w:ascii="Times New Roman" w:hAnsi="Times New Roman" w:cs="Times New Roman"/>
        </w:rPr>
        <w:t xml:space="preserve"> e</w:t>
      </w:r>
      <w:r w:rsidR="0036627A">
        <w:rPr>
          <w:rFonts w:ascii="Times New Roman" w:hAnsi="Times New Roman" w:cs="Times New Roman"/>
        </w:rPr>
        <w:t xml:space="preserve"> d) </w:t>
      </w:r>
      <w:r w:rsidR="006344E2">
        <w:rPr>
          <w:rFonts w:ascii="Times New Roman" w:hAnsi="Times New Roman" w:cs="Times New Roman"/>
        </w:rPr>
        <w:t xml:space="preserve">a atividade </w:t>
      </w:r>
      <w:r w:rsidR="00055799">
        <w:rPr>
          <w:rFonts w:ascii="Times New Roman" w:hAnsi="Times New Roman" w:cs="Times New Roman"/>
        </w:rPr>
        <w:t>tenha sido</w:t>
      </w:r>
      <w:r w:rsidR="006344E2">
        <w:rPr>
          <w:rFonts w:ascii="Times New Roman" w:hAnsi="Times New Roman" w:cs="Times New Roman"/>
        </w:rPr>
        <w:t xml:space="preserve"> unicamente a participação em outras sociedades</w:t>
      </w:r>
      <w:r w:rsidR="00055799">
        <w:rPr>
          <w:rFonts w:ascii="Times New Roman" w:hAnsi="Times New Roman" w:cs="Times New Roman"/>
        </w:rPr>
        <w:t xml:space="preserve"> (</w:t>
      </w:r>
      <w:r w:rsidR="00055799" w:rsidRPr="00055799">
        <w:rPr>
          <w:rFonts w:ascii="Times New Roman" w:hAnsi="Times New Roman" w:cs="Times New Roman"/>
          <w:i/>
          <w:iCs/>
        </w:rPr>
        <w:t>holding</w:t>
      </w:r>
      <w:r w:rsidR="00055799">
        <w:rPr>
          <w:rFonts w:ascii="Times New Roman" w:hAnsi="Times New Roman" w:cs="Times New Roman"/>
          <w:i/>
          <w:iCs/>
        </w:rPr>
        <w:t>s</w:t>
      </w:r>
      <w:r w:rsidR="00055799">
        <w:rPr>
          <w:rFonts w:ascii="Times New Roman" w:hAnsi="Times New Roman" w:cs="Times New Roman"/>
        </w:rPr>
        <w:t xml:space="preserve"> puras)</w:t>
      </w:r>
      <w:r>
        <w:rPr>
          <w:rFonts w:ascii="Times New Roman" w:hAnsi="Times New Roman" w:cs="Times New Roman"/>
        </w:rPr>
        <w:t xml:space="preserve">. </w:t>
      </w:r>
      <w:r w:rsidR="00A5697D">
        <w:rPr>
          <w:rFonts w:ascii="Times New Roman" w:hAnsi="Times New Roman" w:cs="Times New Roman"/>
        </w:rPr>
        <w:t>Segundo</w:t>
      </w:r>
      <w:r w:rsidR="006344E2">
        <w:rPr>
          <w:rFonts w:ascii="Times New Roman" w:hAnsi="Times New Roman" w:cs="Times New Roman"/>
        </w:rPr>
        <w:t xml:space="preserve"> esses parâmetros</w:t>
      </w:r>
      <w:r w:rsidR="00055799">
        <w:rPr>
          <w:rFonts w:ascii="Times New Roman" w:hAnsi="Times New Roman" w:cs="Times New Roman"/>
        </w:rPr>
        <w:t>,</w:t>
      </w:r>
      <w:r w:rsidR="006344E2">
        <w:rPr>
          <w:rFonts w:ascii="Times New Roman" w:hAnsi="Times New Roman" w:cs="Times New Roman"/>
        </w:rPr>
        <w:t xml:space="preserve"> </w:t>
      </w:r>
      <w:r w:rsidR="00055799">
        <w:rPr>
          <w:rFonts w:ascii="Times New Roman" w:hAnsi="Times New Roman" w:cs="Times New Roman"/>
        </w:rPr>
        <w:t>v</w:t>
      </w:r>
      <w:r>
        <w:rPr>
          <w:rFonts w:ascii="Times New Roman" w:hAnsi="Times New Roman" w:cs="Times New Roman"/>
        </w:rPr>
        <w:t>erificou-se</w:t>
      </w:r>
      <w:r w:rsidR="00177B17">
        <w:rPr>
          <w:rFonts w:ascii="Times New Roman" w:hAnsi="Times New Roman" w:cs="Times New Roman"/>
        </w:rPr>
        <w:t>, inicialmente,</w:t>
      </w:r>
      <w:r>
        <w:rPr>
          <w:rFonts w:ascii="Times New Roman" w:hAnsi="Times New Roman" w:cs="Times New Roman"/>
        </w:rPr>
        <w:t xml:space="preserve"> um total de</w:t>
      </w:r>
      <w:r w:rsidR="001D2624">
        <w:rPr>
          <w:rFonts w:ascii="Times New Roman" w:hAnsi="Times New Roman" w:cs="Times New Roman"/>
        </w:rPr>
        <w:t xml:space="preserve"> 228 companhias. </w:t>
      </w:r>
      <w:r>
        <w:rPr>
          <w:rFonts w:ascii="Times New Roman" w:hAnsi="Times New Roman" w:cs="Times New Roman"/>
        </w:rPr>
        <w:t xml:space="preserve">  </w:t>
      </w:r>
    </w:p>
    <w:p w14:paraId="633EFAFE" w14:textId="74D2F033" w:rsidR="00795D1B" w:rsidRDefault="00795D1B" w:rsidP="00F83A22">
      <w:pPr>
        <w:spacing w:after="120"/>
        <w:ind w:firstLine="709"/>
        <w:jc w:val="both"/>
        <w:rPr>
          <w:rFonts w:ascii="Times New Roman" w:hAnsi="Times New Roman" w:cs="Times New Roman"/>
        </w:rPr>
      </w:pPr>
      <w:r>
        <w:rPr>
          <w:rFonts w:ascii="Times New Roman" w:hAnsi="Times New Roman" w:cs="Times New Roman"/>
        </w:rPr>
        <w:t>C</w:t>
      </w:r>
      <w:r w:rsidRPr="0025066D">
        <w:rPr>
          <w:rFonts w:ascii="Times New Roman" w:hAnsi="Times New Roman" w:cs="Times New Roman"/>
        </w:rPr>
        <w:t xml:space="preserve">onsiderando o objetivo </w:t>
      </w:r>
      <w:r>
        <w:rPr>
          <w:rFonts w:ascii="Times New Roman" w:hAnsi="Times New Roman" w:cs="Times New Roman"/>
        </w:rPr>
        <w:t>de mensurar a carga tributária durante os regimes do RTT e da Lei nº 12.973</w:t>
      </w:r>
      <w:r w:rsidR="009B6610">
        <w:rPr>
          <w:rFonts w:ascii="Times New Roman" w:hAnsi="Times New Roman" w:cs="Times New Roman"/>
        </w:rPr>
        <w:t>/</w:t>
      </w:r>
      <w:r>
        <w:rPr>
          <w:rFonts w:ascii="Times New Roman" w:hAnsi="Times New Roman" w:cs="Times New Roman"/>
        </w:rPr>
        <w:t>2014, e em</w:t>
      </w:r>
      <w:r w:rsidRPr="0025066D">
        <w:rPr>
          <w:rFonts w:ascii="Times New Roman" w:hAnsi="Times New Roman" w:cs="Times New Roman"/>
        </w:rPr>
        <w:t xml:space="preserve"> vista das divergências metodológicas </w:t>
      </w:r>
      <w:r w:rsidR="006411FC">
        <w:rPr>
          <w:rFonts w:ascii="Times New Roman" w:hAnsi="Times New Roman" w:cs="Times New Roman"/>
        </w:rPr>
        <w:t>verificadas</w:t>
      </w:r>
      <w:r w:rsidRPr="0025066D">
        <w:rPr>
          <w:rFonts w:ascii="Times New Roman" w:hAnsi="Times New Roman" w:cs="Times New Roman"/>
        </w:rPr>
        <w:t xml:space="preserve"> na literatura</w:t>
      </w:r>
      <w:r>
        <w:rPr>
          <w:rFonts w:ascii="Times New Roman" w:hAnsi="Times New Roman" w:cs="Times New Roman"/>
        </w:rPr>
        <w:t>, a variável</w:t>
      </w:r>
      <w:r w:rsidR="00E41E74">
        <w:rPr>
          <w:rFonts w:ascii="Times New Roman" w:hAnsi="Times New Roman" w:cs="Times New Roman"/>
        </w:rPr>
        <w:t xml:space="preserve"> ETR </w:t>
      </w:r>
      <w:r w:rsidR="006411FC">
        <w:rPr>
          <w:rFonts w:ascii="Times New Roman" w:hAnsi="Times New Roman" w:cs="Times New Roman"/>
        </w:rPr>
        <w:t xml:space="preserve">foi </w:t>
      </w:r>
      <w:r w:rsidR="00E41E74">
        <w:rPr>
          <w:rFonts w:ascii="Times New Roman" w:hAnsi="Times New Roman" w:cs="Times New Roman"/>
        </w:rPr>
        <w:t xml:space="preserve">calculada </w:t>
      </w:r>
      <w:r w:rsidR="00766507">
        <w:rPr>
          <w:rFonts w:ascii="Times New Roman" w:hAnsi="Times New Roman" w:cs="Times New Roman"/>
        </w:rPr>
        <w:t>neste estudo</w:t>
      </w:r>
      <w:r w:rsidRPr="0025066D">
        <w:rPr>
          <w:rFonts w:ascii="Times New Roman" w:hAnsi="Times New Roman" w:cs="Times New Roman"/>
        </w:rPr>
        <w:t xml:space="preserve"> </w:t>
      </w:r>
      <w:r>
        <w:rPr>
          <w:rFonts w:ascii="Times New Roman" w:hAnsi="Times New Roman" w:cs="Times New Roman"/>
        </w:rPr>
        <w:t>sob método que combin</w:t>
      </w:r>
      <w:r w:rsidR="0036627A">
        <w:rPr>
          <w:rFonts w:ascii="Times New Roman" w:hAnsi="Times New Roman" w:cs="Times New Roman"/>
        </w:rPr>
        <w:t>ou</w:t>
      </w:r>
      <w:r>
        <w:rPr>
          <w:rFonts w:ascii="Times New Roman" w:hAnsi="Times New Roman" w:cs="Times New Roman"/>
        </w:rPr>
        <w:t xml:space="preserve"> as características do </w:t>
      </w:r>
      <w:proofErr w:type="spellStart"/>
      <w:r w:rsidRPr="005472EF">
        <w:rPr>
          <w:rFonts w:ascii="Times New Roman" w:hAnsi="Times New Roman" w:cs="Times New Roman"/>
          <w:i/>
          <w:iCs/>
        </w:rPr>
        <w:t>long-run</w:t>
      </w:r>
      <w:proofErr w:type="spellEnd"/>
      <w:r w:rsidRPr="005472EF">
        <w:rPr>
          <w:rFonts w:ascii="Times New Roman" w:hAnsi="Times New Roman" w:cs="Times New Roman"/>
          <w:i/>
          <w:iCs/>
        </w:rPr>
        <w:t xml:space="preserve"> </w:t>
      </w:r>
      <w:proofErr w:type="spellStart"/>
      <w:r w:rsidRPr="005472EF">
        <w:rPr>
          <w:rFonts w:ascii="Times New Roman" w:hAnsi="Times New Roman" w:cs="Times New Roman"/>
          <w:i/>
          <w:iCs/>
        </w:rPr>
        <w:t>effective</w:t>
      </w:r>
      <w:proofErr w:type="spellEnd"/>
      <w:r w:rsidRPr="005472EF">
        <w:rPr>
          <w:rFonts w:ascii="Times New Roman" w:hAnsi="Times New Roman" w:cs="Times New Roman"/>
          <w:i/>
          <w:iCs/>
        </w:rPr>
        <w:t xml:space="preserve"> </w:t>
      </w:r>
      <w:proofErr w:type="spellStart"/>
      <w:r w:rsidRPr="005472EF">
        <w:rPr>
          <w:rFonts w:ascii="Times New Roman" w:hAnsi="Times New Roman" w:cs="Times New Roman"/>
          <w:i/>
          <w:iCs/>
        </w:rPr>
        <w:t>tax</w:t>
      </w:r>
      <w:proofErr w:type="spellEnd"/>
      <w:r w:rsidRPr="005472EF">
        <w:rPr>
          <w:rFonts w:ascii="Times New Roman" w:hAnsi="Times New Roman" w:cs="Times New Roman"/>
          <w:i/>
          <w:iCs/>
        </w:rPr>
        <w:t xml:space="preserve"> rate</w:t>
      </w:r>
      <w:r>
        <w:rPr>
          <w:rFonts w:ascii="Times New Roman" w:hAnsi="Times New Roman" w:cs="Times New Roman"/>
        </w:rPr>
        <w:t xml:space="preserve"> (</w:t>
      </w:r>
      <w:proofErr w:type="spellStart"/>
      <w:r>
        <w:rPr>
          <w:rFonts w:ascii="Times New Roman" w:hAnsi="Times New Roman" w:cs="Times New Roman"/>
        </w:rPr>
        <w:t>CashETR</w:t>
      </w:r>
      <w:proofErr w:type="spellEnd"/>
      <w:r>
        <w:rPr>
          <w:rFonts w:ascii="Times New Roman" w:hAnsi="Times New Roman" w:cs="Times New Roman"/>
        </w:rPr>
        <w:t xml:space="preserve">), da ETR </w:t>
      </w:r>
      <w:r w:rsidR="00E41E74">
        <w:rPr>
          <w:rFonts w:ascii="Times New Roman" w:hAnsi="Times New Roman" w:cs="Times New Roman"/>
        </w:rPr>
        <w:t>total</w:t>
      </w:r>
      <w:r>
        <w:rPr>
          <w:rFonts w:ascii="Times New Roman" w:hAnsi="Times New Roman" w:cs="Times New Roman"/>
        </w:rPr>
        <w:t xml:space="preserve"> (</w:t>
      </w:r>
      <w:proofErr w:type="spellStart"/>
      <w:r>
        <w:rPr>
          <w:rFonts w:ascii="Times New Roman" w:hAnsi="Times New Roman" w:cs="Times New Roman"/>
        </w:rPr>
        <w:t>ETR</w:t>
      </w:r>
      <w:r w:rsidR="00E41E74">
        <w:rPr>
          <w:rFonts w:ascii="Times New Roman" w:hAnsi="Times New Roman" w:cs="Times New Roman"/>
        </w:rPr>
        <w:t>t</w:t>
      </w:r>
      <w:proofErr w:type="spellEnd"/>
      <w:r>
        <w:rPr>
          <w:rFonts w:ascii="Times New Roman" w:hAnsi="Times New Roman" w:cs="Times New Roman"/>
        </w:rPr>
        <w:t xml:space="preserve">) e da ETR </w:t>
      </w:r>
      <w:r w:rsidR="00E41E74">
        <w:rPr>
          <w:rFonts w:ascii="Times New Roman" w:hAnsi="Times New Roman" w:cs="Times New Roman"/>
        </w:rPr>
        <w:t>corrente</w:t>
      </w:r>
      <w:r>
        <w:rPr>
          <w:rFonts w:ascii="Times New Roman" w:hAnsi="Times New Roman" w:cs="Times New Roman"/>
        </w:rPr>
        <w:t xml:space="preserve"> (</w:t>
      </w:r>
      <w:proofErr w:type="spellStart"/>
      <w:r>
        <w:rPr>
          <w:rFonts w:ascii="Times New Roman" w:hAnsi="Times New Roman" w:cs="Times New Roman"/>
        </w:rPr>
        <w:t>ETR</w:t>
      </w:r>
      <w:r w:rsidR="00E41E74">
        <w:rPr>
          <w:rFonts w:ascii="Times New Roman" w:hAnsi="Times New Roman" w:cs="Times New Roman"/>
        </w:rPr>
        <w:t>c</w:t>
      </w:r>
      <w:proofErr w:type="spellEnd"/>
      <w:r>
        <w:rPr>
          <w:rFonts w:ascii="Times New Roman" w:hAnsi="Times New Roman" w:cs="Times New Roman"/>
        </w:rPr>
        <w:t xml:space="preserve">). </w:t>
      </w:r>
      <w:r w:rsidR="00E41E74">
        <w:rPr>
          <w:rFonts w:ascii="Times New Roman" w:hAnsi="Times New Roman" w:cs="Times New Roman"/>
        </w:rPr>
        <w:t xml:space="preserve">Assim, as duas variáveis ETR mensuradas nesta pesquisa foram aqui denominadas de </w:t>
      </w:r>
      <w:proofErr w:type="spellStart"/>
      <w:r w:rsidR="00E41E74">
        <w:rPr>
          <w:rFonts w:ascii="Times New Roman" w:hAnsi="Times New Roman" w:cs="Times New Roman"/>
        </w:rPr>
        <w:t>CashETRc</w:t>
      </w:r>
      <w:proofErr w:type="spellEnd"/>
      <w:r w:rsidR="00E41E74">
        <w:rPr>
          <w:rFonts w:ascii="Times New Roman" w:hAnsi="Times New Roman" w:cs="Times New Roman"/>
        </w:rPr>
        <w:t xml:space="preserve"> e </w:t>
      </w:r>
      <w:proofErr w:type="spellStart"/>
      <w:r w:rsidR="00E41E74">
        <w:rPr>
          <w:rFonts w:ascii="Times New Roman" w:hAnsi="Times New Roman" w:cs="Times New Roman"/>
        </w:rPr>
        <w:t>CashETRt</w:t>
      </w:r>
      <w:proofErr w:type="spellEnd"/>
      <w:r w:rsidR="00E41E74">
        <w:rPr>
          <w:rFonts w:ascii="Times New Roman" w:hAnsi="Times New Roman" w:cs="Times New Roman"/>
        </w:rPr>
        <w:t>, dizendo respeito às cargas tributárias total e corrente do IRPJ e da CSLL, respectivamente.</w:t>
      </w:r>
    </w:p>
    <w:p w14:paraId="68D7A926" w14:textId="459D4CCD" w:rsidR="00795D1B" w:rsidRDefault="00795D1B" w:rsidP="00F83A22">
      <w:pPr>
        <w:spacing w:after="120"/>
        <w:ind w:firstLine="709"/>
        <w:jc w:val="both"/>
        <w:rPr>
          <w:rFonts w:ascii="Times New Roman" w:hAnsi="Times New Roman" w:cs="Times New Roman"/>
        </w:rPr>
      </w:pPr>
      <w:r>
        <w:rPr>
          <w:rFonts w:ascii="Times New Roman" w:hAnsi="Times New Roman" w:cs="Times New Roman"/>
        </w:rPr>
        <w:t>Quanto aos períodos</w:t>
      </w:r>
      <w:r w:rsidR="00E41E74">
        <w:rPr>
          <w:rFonts w:ascii="Times New Roman" w:hAnsi="Times New Roman" w:cs="Times New Roman"/>
        </w:rPr>
        <w:t xml:space="preserve"> de mensuração</w:t>
      </w:r>
      <w:r>
        <w:rPr>
          <w:rFonts w:ascii="Times New Roman" w:hAnsi="Times New Roman" w:cs="Times New Roman"/>
        </w:rPr>
        <w:t xml:space="preserve">, as </w:t>
      </w:r>
      <w:proofErr w:type="spellStart"/>
      <w:r w:rsidR="00E41E74">
        <w:rPr>
          <w:rFonts w:ascii="Times New Roman" w:hAnsi="Times New Roman" w:cs="Times New Roman"/>
        </w:rPr>
        <w:t>Cash</w:t>
      </w:r>
      <w:r>
        <w:rPr>
          <w:rFonts w:ascii="Times New Roman" w:hAnsi="Times New Roman" w:cs="Times New Roman"/>
        </w:rPr>
        <w:t>ETR</w:t>
      </w:r>
      <w:r w:rsidR="00E41E74">
        <w:rPr>
          <w:rFonts w:ascii="Times New Roman" w:hAnsi="Times New Roman" w:cs="Times New Roman"/>
        </w:rPr>
        <w:t>t</w:t>
      </w:r>
      <w:proofErr w:type="spellEnd"/>
      <w:r w:rsidR="00E41E74">
        <w:rPr>
          <w:rFonts w:ascii="Times New Roman" w:hAnsi="Times New Roman" w:cs="Times New Roman"/>
        </w:rPr>
        <w:t xml:space="preserve"> e </w:t>
      </w:r>
      <w:proofErr w:type="spellStart"/>
      <w:r w:rsidR="00E41E74">
        <w:rPr>
          <w:rFonts w:ascii="Times New Roman" w:hAnsi="Times New Roman" w:cs="Times New Roman"/>
        </w:rPr>
        <w:t>CashETRc</w:t>
      </w:r>
      <w:proofErr w:type="spellEnd"/>
      <w:r>
        <w:rPr>
          <w:rFonts w:ascii="Times New Roman" w:hAnsi="Times New Roman" w:cs="Times New Roman"/>
        </w:rPr>
        <w:t xml:space="preserve"> foram quantificadas para os quinquênios 2015 a 2019 (vigência da Lei nº 12.973</w:t>
      </w:r>
      <w:r w:rsidR="009B6610">
        <w:rPr>
          <w:rFonts w:ascii="Times New Roman" w:hAnsi="Times New Roman" w:cs="Times New Roman"/>
        </w:rPr>
        <w:t>/</w:t>
      </w:r>
      <w:r>
        <w:rPr>
          <w:rFonts w:ascii="Times New Roman" w:hAnsi="Times New Roman" w:cs="Times New Roman"/>
        </w:rPr>
        <w:t xml:space="preserve">2014) e 2010 a 2014 (vigência do RTT). Em cada um dos </w:t>
      </w:r>
      <w:r w:rsidR="00E41E74">
        <w:rPr>
          <w:rFonts w:ascii="Times New Roman" w:hAnsi="Times New Roman" w:cs="Times New Roman"/>
        </w:rPr>
        <w:t>referidos períodos</w:t>
      </w:r>
      <w:r w:rsidR="0036627A">
        <w:rPr>
          <w:rFonts w:ascii="Times New Roman" w:hAnsi="Times New Roman" w:cs="Times New Roman"/>
        </w:rPr>
        <w:t xml:space="preserve"> de cinco anos</w:t>
      </w:r>
      <w:r>
        <w:rPr>
          <w:rFonts w:ascii="Times New Roman" w:hAnsi="Times New Roman" w:cs="Times New Roman"/>
        </w:rPr>
        <w:t xml:space="preserve">, as </w:t>
      </w:r>
      <w:proofErr w:type="spellStart"/>
      <w:r w:rsidR="00E41E74">
        <w:rPr>
          <w:rFonts w:ascii="Times New Roman" w:hAnsi="Times New Roman" w:cs="Times New Roman"/>
        </w:rPr>
        <w:t>Cash</w:t>
      </w:r>
      <w:r>
        <w:rPr>
          <w:rFonts w:ascii="Times New Roman" w:hAnsi="Times New Roman" w:cs="Times New Roman"/>
        </w:rPr>
        <w:t>ETR</w:t>
      </w:r>
      <w:r w:rsidR="00E41E74">
        <w:rPr>
          <w:rFonts w:ascii="Times New Roman" w:hAnsi="Times New Roman" w:cs="Times New Roman"/>
        </w:rPr>
        <w:t>t</w:t>
      </w:r>
      <w:proofErr w:type="spellEnd"/>
      <w:r>
        <w:rPr>
          <w:rFonts w:ascii="Times New Roman" w:hAnsi="Times New Roman" w:cs="Times New Roman"/>
        </w:rPr>
        <w:t xml:space="preserve"> foram calculadas incluindo-se</w:t>
      </w:r>
      <w:r w:rsidR="006411FC">
        <w:rPr>
          <w:rFonts w:ascii="Times New Roman" w:hAnsi="Times New Roman" w:cs="Times New Roman"/>
        </w:rPr>
        <w:t>,</w:t>
      </w:r>
      <w:r>
        <w:rPr>
          <w:rFonts w:ascii="Times New Roman" w:hAnsi="Times New Roman" w:cs="Times New Roman"/>
        </w:rPr>
        <w:t xml:space="preserve"> no numerador</w:t>
      </w:r>
      <w:r w:rsidR="006411FC">
        <w:rPr>
          <w:rFonts w:ascii="Times New Roman" w:hAnsi="Times New Roman" w:cs="Times New Roman"/>
        </w:rPr>
        <w:t>,</w:t>
      </w:r>
      <w:r>
        <w:rPr>
          <w:rFonts w:ascii="Times New Roman" w:hAnsi="Times New Roman" w:cs="Times New Roman"/>
        </w:rPr>
        <w:t xml:space="preserve"> as despesas correntes </w:t>
      </w:r>
      <w:r w:rsidR="00E41E74">
        <w:rPr>
          <w:rFonts w:ascii="Times New Roman" w:hAnsi="Times New Roman" w:cs="Times New Roman"/>
        </w:rPr>
        <w:t>e diferidas</w:t>
      </w:r>
      <w:r w:rsidR="006D7D3B">
        <w:rPr>
          <w:rFonts w:ascii="Times New Roman" w:hAnsi="Times New Roman" w:cs="Times New Roman"/>
        </w:rPr>
        <w:t xml:space="preserve"> do IRPJ e da CSLL</w:t>
      </w:r>
      <w:r w:rsidR="00E41E74">
        <w:rPr>
          <w:rFonts w:ascii="Times New Roman" w:hAnsi="Times New Roman" w:cs="Times New Roman"/>
        </w:rPr>
        <w:t xml:space="preserve"> e</w:t>
      </w:r>
      <w:r>
        <w:rPr>
          <w:rFonts w:ascii="Times New Roman" w:hAnsi="Times New Roman" w:cs="Times New Roman"/>
        </w:rPr>
        <w:t xml:space="preserve">, paralelamente, </w:t>
      </w:r>
      <w:r w:rsidR="00E41E74">
        <w:rPr>
          <w:rFonts w:ascii="Times New Roman" w:hAnsi="Times New Roman" w:cs="Times New Roman"/>
        </w:rPr>
        <w:t xml:space="preserve">as </w:t>
      </w:r>
      <w:proofErr w:type="spellStart"/>
      <w:r w:rsidR="00E41E74">
        <w:rPr>
          <w:rFonts w:ascii="Times New Roman" w:hAnsi="Times New Roman" w:cs="Times New Roman"/>
        </w:rPr>
        <w:t>CashETRc</w:t>
      </w:r>
      <w:proofErr w:type="spellEnd"/>
      <w:r w:rsidR="006D7D3B">
        <w:rPr>
          <w:rFonts w:ascii="Times New Roman" w:hAnsi="Times New Roman" w:cs="Times New Roman"/>
        </w:rPr>
        <w:t xml:space="preserve"> foram apuradas</w:t>
      </w:r>
      <w:r>
        <w:rPr>
          <w:rFonts w:ascii="Times New Roman" w:hAnsi="Times New Roman" w:cs="Times New Roman"/>
        </w:rPr>
        <w:t xml:space="preserve"> considerando-se </w:t>
      </w:r>
      <w:r w:rsidR="006D7D3B">
        <w:rPr>
          <w:rFonts w:ascii="Times New Roman" w:hAnsi="Times New Roman" w:cs="Times New Roman"/>
        </w:rPr>
        <w:t xml:space="preserve">apenas </w:t>
      </w:r>
      <w:r>
        <w:rPr>
          <w:rFonts w:ascii="Times New Roman" w:hAnsi="Times New Roman" w:cs="Times New Roman"/>
        </w:rPr>
        <w:t>as despesas correntes</w:t>
      </w:r>
      <w:r w:rsidR="006D7D3B">
        <w:rPr>
          <w:rFonts w:ascii="Times New Roman" w:hAnsi="Times New Roman" w:cs="Times New Roman"/>
        </w:rPr>
        <w:t xml:space="preserve"> desses tributos</w:t>
      </w:r>
      <w:r>
        <w:rPr>
          <w:rFonts w:ascii="Times New Roman" w:hAnsi="Times New Roman" w:cs="Times New Roman"/>
        </w:rPr>
        <w:t xml:space="preserve">. </w:t>
      </w:r>
    </w:p>
    <w:p w14:paraId="4004A47A" w14:textId="528106BC" w:rsidR="00171D19" w:rsidRDefault="009068C5" w:rsidP="00F83A22">
      <w:pPr>
        <w:spacing w:after="120"/>
        <w:ind w:firstLine="709"/>
        <w:jc w:val="both"/>
        <w:rPr>
          <w:rFonts w:ascii="Times New Roman" w:hAnsi="Times New Roman" w:cs="Times New Roman"/>
        </w:rPr>
      </w:pPr>
      <w:r>
        <w:rPr>
          <w:rFonts w:ascii="Times New Roman" w:hAnsi="Times New Roman" w:cs="Times New Roman"/>
        </w:rPr>
        <w:t>A</w:t>
      </w:r>
      <w:r w:rsidR="008E4E31">
        <w:rPr>
          <w:rFonts w:ascii="Times New Roman" w:hAnsi="Times New Roman" w:cs="Times New Roman"/>
        </w:rPr>
        <w:t xml:space="preserve">s </w:t>
      </w:r>
      <w:r w:rsidR="000D538B">
        <w:rPr>
          <w:rFonts w:ascii="Times New Roman" w:hAnsi="Times New Roman" w:cs="Times New Roman"/>
        </w:rPr>
        <w:t>companhia</w:t>
      </w:r>
      <w:r w:rsidR="008E4E31">
        <w:rPr>
          <w:rFonts w:ascii="Times New Roman" w:hAnsi="Times New Roman" w:cs="Times New Roman"/>
        </w:rPr>
        <w:t>s</w:t>
      </w:r>
      <w:r w:rsidR="000D538B">
        <w:rPr>
          <w:rFonts w:ascii="Times New Roman" w:hAnsi="Times New Roman" w:cs="Times New Roman"/>
        </w:rPr>
        <w:t xml:space="preserve"> </w:t>
      </w:r>
      <w:r>
        <w:rPr>
          <w:rFonts w:ascii="Times New Roman" w:hAnsi="Times New Roman" w:cs="Times New Roman"/>
        </w:rPr>
        <w:t>foram</w:t>
      </w:r>
      <w:r w:rsidR="000D538B">
        <w:rPr>
          <w:rFonts w:ascii="Times New Roman" w:hAnsi="Times New Roman" w:cs="Times New Roman"/>
        </w:rPr>
        <w:t xml:space="preserve"> </w:t>
      </w:r>
      <w:r w:rsidR="00A5697D">
        <w:rPr>
          <w:rFonts w:ascii="Times New Roman" w:hAnsi="Times New Roman" w:cs="Times New Roman"/>
        </w:rPr>
        <w:t>divididas</w:t>
      </w:r>
      <w:r w:rsidR="000D538B">
        <w:rPr>
          <w:rFonts w:ascii="Times New Roman" w:hAnsi="Times New Roman" w:cs="Times New Roman"/>
        </w:rPr>
        <w:t xml:space="preserve"> </w:t>
      </w:r>
      <w:r w:rsidR="00A5697D">
        <w:rPr>
          <w:rFonts w:ascii="Times New Roman" w:hAnsi="Times New Roman" w:cs="Times New Roman"/>
        </w:rPr>
        <w:t>nos seguintes</w:t>
      </w:r>
      <w:r w:rsidR="000D538B">
        <w:rPr>
          <w:rFonts w:ascii="Times New Roman" w:hAnsi="Times New Roman" w:cs="Times New Roman"/>
        </w:rPr>
        <w:t xml:space="preserve"> setor</w:t>
      </w:r>
      <w:r w:rsidR="00A5697D">
        <w:rPr>
          <w:rFonts w:ascii="Times New Roman" w:hAnsi="Times New Roman" w:cs="Times New Roman"/>
        </w:rPr>
        <w:t>es</w:t>
      </w:r>
      <w:r w:rsidR="000D538B">
        <w:rPr>
          <w:rFonts w:ascii="Times New Roman" w:hAnsi="Times New Roman" w:cs="Times New Roman"/>
        </w:rPr>
        <w:t xml:space="preserve"> de atividade econômica</w:t>
      </w:r>
      <w:r w:rsidR="00A5697D">
        <w:rPr>
          <w:rFonts w:ascii="Times New Roman" w:hAnsi="Times New Roman" w:cs="Times New Roman"/>
        </w:rPr>
        <w:t xml:space="preserve">: </w:t>
      </w:r>
      <w:r w:rsidR="00783E49">
        <w:rPr>
          <w:rFonts w:ascii="Times New Roman" w:hAnsi="Times New Roman" w:cs="Times New Roman"/>
        </w:rPr>
        <w:t xml:space="preserve">não financeiro, subdividido em </w:t>
      </w:r>
      <w:r w:rsidR="00BD528F">
        <w:rPr>
          <w:rFonts w:ascii="Times New Roman" w:hAnsi="Times New Roman" w:cs="Times New Roman"/>
        </w:rPr>
        <w:t xml:space="preserve">comércio, </w:t>
      </w:r>
      <w:r w:rsidR="00A5697D">
        <w:rPr>
          <w:rFonts w:ascii="Times New Roman" w:hAnsi="Times New Roman" w:cs="Times New Roman"/>
        </w:rPr>
        <w:t>indústria, serviços</w:t>
      </w:r>
      <w:r w:rsidR="00BD528F">
        <w:rPr>
          <w:rFonts w:ascii="Times New Roman" w:hAnsi="Times New Roman" w:cs="Times New Roman"/>
        </w:rPr>
        <w:t xml:space="preserve"> e exploração de imóveis</w:t>
      </w:r>
      <w:r w:rsidR="00783E49">
        <w:rPr>
          <w:rFonts w:ascii="Times New Roman" w:hAnsi="Times New Roman" w:cs="Times New Roman"/>
        </w:rPr>
        <w:t xml:space="preserve">; e </w:t>
      </w:r>
      <w:r w:rsidR="00BD528F">
        <w:rPr>
          <w:rFonts w:ascii="Times New Roman" w:hAnsi="Times New Roman" w:cs="Times New Roman"/>
        </w:rPr>
        <w:t>financeiro</w:t>
      </w:r>
      <w:r w:rsidR="00783E49">
        <w:rPr>
          <w:rFonts w:ascii="Times New Roman" w:hAnsi="Times New Roman" w:cs="Times New Roman"/>
        </w:rPr>
        <w:t xml:space="preserve">, </w:t>
      </w:r>
      <w:r w:rsidR="006C43AB">
        <w:rPr>
          <w:rFonts w:ascii="Times New Roman" w:hAnsi="Times New Roman" w:cs="Times New Roman"/>
        </w:rPr>
        <w:t>o qual i</w:t>
      </w:r>
      <w:r w:rsidR="00783E49">
        <w:rPr>
          <w:rFonts w:ascii="Times New Roman" w:hAnsi="Times New Roman" w:cs="Times New Roman"/>
        </w:rPr>
        <w:t>nclui</w:t>
      </w:r>
      <w:r w:rsidR="006C43AB">
        <w:rPr>
          <w:rFonts w:ascii="Times New Roman" w:hAnsi="Times New Roman" w:cs="Times New Roman"/>
        </w:rPr>
        <w:t>u</w:t>
      </w:r>
      <w:r w:rsidR="00783E49">
        <w:rPr>
          <w:rFonts w:ascii="Times New Roman" w:hAnsi="Times New Roman" w:cs="Times New Roman"/>
        </w:rPr>
        <w:t xml:space="preserve"> os </w:t>
      </w:r>
      <w:r w:rsidR="00A5697D">
        <w:rPr>
          <w:rFonts w:ascii="Times New Roman" w:hAnsi="Times New Roman" w:cs="Times New Roman"/>
        </w:rPr>
        <w:t xml:space="preserve">bancos, </w:t>
      </w:r>
      <w:r w:rsidR="00783E49">
        <w:rPr>
          <w:rFonts w:ascii="Times New Roman" w:hAnsi="Times New Roman" w:cs="Times New Roman"/>
        </w:rPr>
        <w:t xml:space="preserve">as </w:t>
      </w:r>
      <w:r w:rsidR="00A5697D">
        <w:rPr>
          <w:rFonts w:ascii="Times New Roman" w:hAnsi="Times New Roman" w:cs="Times New Roman"/>
        </w:rPr>
        <w:t>seguradoras e outros</w:t>
      </w:r>
      <w:r w:rsidR="00783E49">
        <w:rPr>
          <w:rFonts w:ascii="Times New Roman" w:hAnsi="Times New Roman" w:cs="Times New Roman"/>
        </w:rPr>
        <w:t xml:space="preserve"> serviços</w:t>
      </w:r>
      <w:r w:rsidR="00923AEF">
        <w:rPr>
          <w:rFonts w:ascii="Times New Roman" w:hAnsi="Times New Roman" w:cs="Times New Roman"/>
        </w:rPr>
        <w:t xml:space="preserve"> congêneres</w:t>
      </w:r>
      <w:r w:rsidR="000D538B">
        <w:rPr>
          <w:rFonts w:ascii="Times New Roman" w:hAnsi="Times New Roman" w:cs="Times New Roman"/>
        </w:rPr>
        <w:t>.</w:t>
      </w:r>
      <w:r w:rsidR="00923AEF">
        <w:rPr>
          <w:rFonts w:ascii="Times New Roman" w:hAnsi="Times New Roman" w:cs="Times New Roman"/>
        </w:rPr>
        <w:t xml:space="preserve"> Os critérios utilizados para divisão </w:t>
      </w:r>
      <w:r w:rsidR="00F239C5">
        <w:rPr>
          <w:rFonts w:ascii="Times New Roman" w:hAnsi="Times New Roman" w:cs="Times New Roman"/>
        </w:rPr>
        <w:t xml:space="preserve">das companhias </w:t>
      </w:r>
      <w:r w:rsidR="00923AEF">
        <w:rPr>
          <w:rFonts w:ascii="Times New Roman" w:hAnsi="Times New Roman" w:cs="Times New Roman"/>
        </w:rPr>
        <w:t>em setores foram dois</w:t>
      </w:r>
      <w:r w:rsidR="0036627A">
        <w:rPr>
          <w:rFonts w:ascii="Times New Roman" w:hAnsi="Times New Roman" w:cs="Times New Roman"/>
        </w:rPr>
        <w:t>, a saber</w:t>
      </w:r>
      <w:r w:rsidR="00923AEF">
        <w:rPr>
          <w:rFonts w:ascii="Times New Roman" w:hAnsi="Times New Roman" w:cs="Times New Roman"/>
        </w:rPr>
        <w:t xml:space="preserve">: o tipo de atividade operacional </w:t>
      </w:r>
      <w:r w:rsidR="00923AEF">
        <w:rPr>
          <w:rFonts w:ascii="Times New Roman" w:hAnsi="Times New Roman" w:cs="Times New Roman"/>
        </w:rPr>
        <w:lastRenderedPageBreak/>
        <w:t>p</w:t>
      </w:r>
      <w:r w:rsidR="006C43AB">
        <w:rPr>
          <w:rFonts w:ascii="Times New Roman" w:hAnsi="Times New Roman" w:cs="Times New Roman"/>
        </w:rPr>
        <w:t>reponderante</w:t>
      </w:r>
      <w:r w:rsidR="00923AEF">
        <w:rPr>
          <w:rFonts w:ascii="Times New Roman" w:hAnsi="Times New Roman" w:cs="Times New Roman"/>
        </w:rPr>
        <w:t xml:space="preserve"> da companhia e suas controladas; e a alíquota da CSLL</w:t>
      </w:r>
      <w:r w:rsidR="006C43AB">
        <w:rPr>
          <w:rFonts w:ascii="Times New Roman" w:hAnsi="Times New Roman" w:cs="Times New Roman"/>
        </w:rPr>
        <w:t>,</w:t>
      </w:r>
      <w:r w:rsidR="00923AEF">
        <w:rPr>
          <w:rFonts w:ascii="Times New Roman" w:hAnsi="Times New Roman" w:cs="Times New Roman"/>
        </w:rPr>
        <w:t xml:space="preserve"> </w:t>
      </w:r>
      <w:r w:rsidR="0005519C">
        <w:rPr>
          <w:rFonts w:ascii="Times New Roman" w:hAnsi="Times New Roman" w:cs="Times New Roman"/>
        </w:rPr>
        <w:t>a qual</w:t>
      </w:r>
      <w:r w:rsidR="00923AEF">
        <w:rPr>
          <w:rFonts w:ascii="Times New Roman" w:hAnsi="Times New Roman" w:cs="Times New Roman"/>
        </w:rPr>
        <w:t xml:space="preserve"> é</w:t>
      </w:r>
      <w:r w:rsidR="006D7D3B">
        <w:rPr>
          <w:rFonts w:ascii="Times New Roman" w:hAnsi="Times New Roman" w:cs="Times New Roman"/>
        </w:rPr>
        <w:t xml:space="preserve"> diferenciada</w:t>
      </w:r>
      <w:r w:rsidR="00F239C5">
        <w:rPr>
          <w:rFonts w:ascii="Times New Roman" w:hAnsi="Times New Roman" w:cs="Times New Roman"/>
        </w:rPr>
        <w:t xml:space="preserve"> </w:t>
      </w:r>
      <w:r w:rsidR="00923AEF">
        <w:rPr>
          <w:rFonts w:ascii="Times New Roman" w:hAnsi="Times New Roman" w:cs="Times New Roman"/>
        </w:rPr>
        <w:t xml:space="preserve">para as pessoas jurídicas </w:t>
      </w:r>
      <w:r w:rsidR="00F239C5">
        <w:rPr>
          <w:rFonts w:ascii="Times New Roman" w:hAnsi="Times New Roman" w:cs="Times New Roman"/>
        </w:rPr>
        <w:t>atuantes no</w:t>
      </w:r>
      <w:r w:rsidR="00923AEF">
        <w:rPr>
          <w:rFonts w:ascii="Times New Roman" w:hAnsi="Times New Roman" w:cs="Times New Roman"/>
        </w:rPr>
        <w:t xml:space="preserve"> setor financeiro.  </w:t>
      </w:r>
      <w:r w:rsidR="0008475B">
        <w:rPr>
          <w:rFonts w:ascii="Times New Roman" w:hAnsi="Times New Roman" w:cs="Times New Roman"/>
        </w:rPr>
        <w:t xml:space="preserve"> </w:t>
      </w:r>
    </w:p>
    <w:p w14:paraId="0D26A42E" w14:textId="7159190A" w:rsidR="00177B17" w:rsidRDefault="009068C5" w:rsidP="00F83A22">
      <w:pPr>
        <w:spacing w:after="120"/>
        <w:ind w:firstLine="709"/>
        <w:jc w:val="both"/>
        <w:rPr>
          <w:rFonts w:ascii="Times New Roman" w:hAnsi="Times New Roman" w:cs="Times New Roman"/>
        </w:rPr>
      </w:pPr>
      <w:r>
        <w:rPr>
          <w:rFonts w:ascii="Times New Roman" w:hAnsi="Times New Roman" w:cs="Times New Roman"/>
        </w:rPr>
        <w:t xml:space="preserve">No cálculo das </w:t>
      </w:r>
      <w:proofErr w:type="spellStart"/>
      <w:r w:rsidR="0075699D">
        <w:rPr>
          <w:rFonts w:ascii="Times New Roman" w:hAnsi="Times New Roman" w:cs="Times New Roman"/>
        </w:rPr>
        <w:t>Cash</w:t>
      </w:r>
      <w:r>
        <w:rPr>
          <w:rFonts w:ascii="Times New Roman" w:hAnsi="Times New Roman" w:cs="Times New Roman"/>
        </w:rPr>
        <w:t>ETR</w:t>
      </w:r>
      <w:r w:rsidR="006D7D3B">
        <w:rPr>
          <w:rFonts w:ascii="Times New Roman" w:hAnsi="Times New Roman" w:cs="Times New Roman"/>
        </w:rPr>
        <w:t>t</w:t>
      </w:r>
      <w:proofErr w:type="spellEnd"/>
      <w:r w:rsidR="0075699D">
        <w:rPr>
          <w:rFonts w:ascii="Times New Roman" w:hAnsi="Times New Roman" w:cs="Times New Roman"/>
        </w:rPr>
        <w:t xml:space="preserve"> e </w:t>
      </w:r>
      <w:proofErr w:type="spellStart"/>
      <w:r w:rsidR="0075699D">
        <w:rPr>
          <w:rFonts w:ascii="Times New Roman" w:hAnsi="Times New Roman" w:cs="Times New Roman"/>
        </w:rPr>
        <w:t>CashETR</w:t>
      </w:r>
      <w:r w:rsidR="006D7D3B">
        <w:rPr>
          <w:rFonts w:ascii="Times New Roman" w:hAnsi="Times New Roman" w:cs="Times New Roman"/>
        </w:rPr>
        <w:t>c</w:t>
      </w:r>
      <w:proofErr w:type="spellEnd"/>
      <w:r>
        <w:rPr>
          <w:rFonts w:ascii="Times New Roman" w:hAnsi="Times New Roman" w:cs="Times New Roman"/>
        </w:rPr>
        <w:t xml:space="preserve"> f</w:t>
      </w:r>
      <w:r w:rsidR="0008475B">
        <w:rPr>
          <w:rFonts w:ascii="Times New Roman" w:hAnsi="Times New Roman" w:cs="Times New Roman"/>
        </w:rPr>
        <w:t>oram computados</w:t>
      </w:r>
      <w:r w:rsidR="00F948DF">
        <w:rPr>
          <w:rFonts w:ascii="Times New Roman" w:hAnsi="Times New Roman" w:cs="Times New Roman"/>
        </w:rPr>
        <w:t xml:space="preserve"> apenas os LAIR positivos e as provisões para o IRPJ</w:t>
      </w:r>
      <w:r w:rsidR="00A5697D">
        <w:rPr>
          <w:rFonts w:ascii="Times New Roman" w:hAnsi="Times New Roman" w:cs="Times New Roman"/>
        </w:rPr>
        <w:t xml:space="preserve"> e a </w:t>
      </w:r>
      <w:r w:rsidR="00F948DF">
        <w:rPr>
          <w:rFonts w:ascii="Times New Roman" w:hAnsi="Times New Roman" w:cs="Times New Roman"/>
        </w:rPr>
        <w:t xml:space="preserve">CSLL negativas. </w:t>
      </w:r>
      <w:r w:rsidR="001D2624">
        <w:rPr>
          <w:rFonts w:ascii="Times New Roman" w:hAnsi="Times New Roman" w:cs="Times New Roman"/>
        </w:rPr>
        <w:t xml:space="preserve">Foram excluídas </w:t>
      </w:r>
      <w:r w:rsidR="00177B17">
        <w:rPr>
          <w:rFonts w:ascii="Times New Roman" w:hAnsi="Times New Roman" w:cs="Times New Roman"/>
        </w:rPr>
        <w:t xml:space="preserve">da </w:t>
      </w:r>
      <w:r w:rsidR="009E093E">
        <w:rPr>
          <w:rFonts w:ascii="Times New Roman" w:hAnsi="Times New Roman" w:cs="Times New Roman"/>
        </w:rPr>
        <w:t xml:space="preserve">população </w:t>
      </w:r>
      <w:r w:rsidR="00C83281">
        <w:rPr>
          <w:rFonts w:ascii="Times New Roman" w:hAnsi="Times New Roman" w:cs="Times New Roman"/>
        </w:rPr>
        <w:t>a</w:t>
      </w:r>
      <w:r w:rsidR="001D2624">
        <w:rPr>
          <w:rFonts w:ascii="Times New Roman" w:hAnsi="Times New Roman" w:cs="Times New Roman"/>
        </w:rPr>
        <w:t xml:space="preserve">s companhias que </w:t>
      </w:r>
      <w:r w:rsidR="0075699D">
        <w:rPr>
          <w:rFonts w:ascii="Times New Roman" w:hAnsi="Times New Roman" w:cs="Times New Roman"/>
        </w:rPr>
        <w:t xml:space="preserve">não </w:t>
      </w:r>
      <w:r w:rsidR="001D2624">
        <w:rPr>
          <w:rFonts w:ascii="Times New Roman" w:hAnsi="Times New Roman" w:cs="Times New Roman"/>
        </w:rPr>
        <w:t xml:space="preserve">apresentaram </w:t>
      </w:r>
      <w:r w:rsidR="0075699D">
        <w:rPr>
          <w:rFonts w:ascii="Times New Roman" w:hAnsi="Times New Roman" w:cs="Times New Roman"/>
        </w:rPr>
        <w:t>LAIR positivo em</w:t>
      </w:r>
      <w:r w:rsidR="006D7D3B">
        <w:rPr>
          <w:rFonts w:ascii="Times New Roman" w:hAnsi="Times New Roman" w:cs="Times New Roman"/>
        </w:rPr>
        <w:t xml:space="preserve"> nenhum</w:t>
      </w:r>
      <w:r w:rsidR="001D2624">
        <w:rPr>
          <w:rFonts w:ascii="Times New Roman" w:hAnsi="Times New Roman" w:cs="Times New Roman"/>
        </w:rPr>
        <w:t xml:space="preserve"> dos </w:t>
      </w:r>
      <w:r w:rsidR="00F239C5">
        <w:rPr>
          <w:rFonts w:ascii="Times New Roman" w:hAnsi="Times New Roman" w:cs="Times New Roman"/>
        </w:rPr>
        <w:t>anos</w:t>
      </w:r>
      <w:r w:rsidR="006D7D3B">
        <w:rPr>
          <w:rFonts w:ascii="Times New Roman" w:hAnsi="Times New Roman" w:cs="Times New Roman"/>
        </w:rPr>
        <w:t xml:space="preserve"> abrangidos pelos</w:t>
      </w:r>
      <w:r w:rsidR="00F239C5">
        <w:rPr>
          <w:rFonts w:ascii="Times New Roman" w:hAnsi="Times New Roman" w:cs="Times New Roman"/>
        </w:rPr>
        <w:t xml:space="preserve"> </w:t>
      </w:r>
      <w:r w:rsidR="001D2624">
        <w:rPr>
          <w:rFonts w:ascii="Times New Roman" w:hAnsi="Times New Roman" w:cs="Times New Roman"/>
        </w:rPr>
        <w:t xml:space="preserve">períodos quinquenais. </w:t>
      </w:r>
      <w:r w:rsidR="00177B17">
        <w:rPr>
          <w:rFonts w:ascii="Times New Roman" w:hAnsi="Times New Roman" w:cs="Times New Roman"/>
        </w:rPr>
        <w:t>Chegou-se</w:t>
      </w:r>
      <w:r w:rsidR="00055799">
        <w:rPr>
          <w:rFonts w:ascii="Times New Roman" w:hAnsi="Times New Roman" w:cs="Times New Roman"/>
        </w:rPr>
        <w:t xml:space="preserve"> então</w:t>
      </w:r>
      <w:r w:rsidR="00177B17">
        <w:rPr>
          <w:rFonts w:ascii="Times New Roman" w:hAnsi="Times New Roman" w:cs="Times New Roman"/>
        </w:rPr>
        <w:t xml:space="preserve"> </w:t>
      </w:r>
      <w:r w:rsidR="00CF5E21">
        <w:rPr>
          <w:rFonts w:ascii="Times New Roman" w:hAnsi="Times New Roman" w:cs="Times New Roman"/>
        </w:rPr>
        <w:t>a um quantitativo</w:t>
      </w:r>
      <w:r w:rsidR="00177B17">
        <w:rPr>
          <w:rFonts w:ascii="Times New Roman" w:hAnsi="Times New Roman" w:cs="Times New Roman"/>
        </w:rPr>
        <w:t xml:space="preserve"> final de 207 companhias.</w:t>
      </w:r>
    </w:p>
    <w:p w14:paraId="1E189675" w14:textId="155E6986" w:rsidR="00746F27" w:rsidRDefault="000418BF" w:rsidP="00F83A22">
      <w:pPr>
        <w:spacing w:after="120"/>
        <w:ind w:firstLine="709"/>
        <w:jc w:val="both"/>
        <w:rPr>
          <w:rFonts w:ascii="Times New Roman" w:hAnsi="Times New Roman" w:cs="Times New Roman"/>
        </w:rPr>
      </w:pPr>
      <w:r>
        <w:rPr>
          <w:rFonts w:ascii="Times New Roman" w:hAnsi="Times New Roman" w:cs="Times New Roman"/>
        </w:rPr>
        <w:t>Os cálculo</w:t>
      </w:r>
      <w:r w:rsidR="005F06D3">
        <w:rPr>
          <w:rFonts w:ascii="Times New Roman" w:hAnsi="Times New Roman" w:cs="Times New Roman"/>
        </w:rPr>
        <w:t>s</w:t>
      </w:r>
      <w:r w:rsidR="00177B17">
        <w:rPr>
          <w:rFonts w:ascii="Times New Roman" w:hAnsi="Times New Roman" w:cs="Times New Roman"/>
        </w:rPr>
        <w:t xml:space="preserve"> das </w:t>
      </w:r>
      <w:proofErr w:type="spellStart"/>
      <w:r w:rsidR="00BD528F">
        <w:rPr>
          <w:rFonts w:ascii="Times New Roman" w:hAnsi="Times New Roman" w:cs="Times New Roman"/>
        </w:rPr>
        <w:t>Cash</w:t>
      </w:r>
      <w:r w:rsidR="00177B17">
        <w:rPr>
          <w:rFonts w:ascii="Times New Roman" w:hAnsi="Times New Roman" w:cs="Times New Roman"/>
        </w:rPr>
        <w:t>ETR</w:t>
      </w:r>
      <w:r w:rsidR="00BD528F">
        <w:rPr>
          <w:rFonts w:ascii="Times New Roman" w:hAnsi="Times New Roman" w:cs="Times New Roman"/>
        </w:rPr>
        <w:t>t</w:t>
      </w:r>
      <w:proofErr w:type="spellEnd"/>
      <w:r w:rsidR="00BD528F">
        <w:rPr>
          <w:rFonts w:ascii="Times New Roman" w:hAnsi="Times New Roman" w:cs="Times New Roman"/>
        </w:rPr>
        <w:t xml:space="preserve"> e </w:t>
      </w:r>
      <w:proofErr w:type="spellStart"/>
      <w:r w:rsidR="00BD528F">
        <w:rPr>
          <w:rFonts w:ascii="Times New Roman" w:hAnsi="Times New Roman" w:cs="Times New Roman"/>
        </w:rPr>
        <w:t>CashETRc</w:t>
      </w:r>
      <w:proofErr w:type="spellEnd"/>
      <w:r>
        <w:rPr>
          <w:rFonts w:ascii="Times New Roman" w:hAnsi="Times New Roman" w:cs="Times New Roman"/>
        </w:rPr>
        <w:t xml:space="preserve"> </w:t>
      </w:r>
      <w:r w:rsidR="005F06D3">
        <w:rPr>
          <w:rFonts w:ascii="Times New Roman" w:hAnsi="Times New Roman" w:cs="Times New Roman"/>
        </w:rPr>
        <w:t xml:space="preserve">tomaram por base </w:t>
      </w:r>
      <w:r>
        <w:rPr>
          <w:rFonts w:ascii="Times New Roman" w:hAnsi="Times New Roman" w:cs="Times New Roman"/>
        </w:rPr>
        <w:t xml:space="preserve">as informações </w:t>
      </w:r>
      <w:r w:rsidR="005F06D3">
        <w:rPr>
          <w:rFonts w:ascii="Times New Roman" w:hAnsi="Times New Roman" w:cs="Times New Roman"/>
        </w:rPr>
        <w:t xml:space="preserve">financeiras </w:t>
      </w:r>
      <w:r>
        <w:rPr>
          <w:rFonts w:ascii="Times New Roman" w:hAnsi="Times New Roman" w:cs="Times New Roman"/>
        </w:rPr>
        <w:t xml:space="preserve">consolidadas divulgadas </w:t>
      </w:r>
      <w:r w:rsidR="00177B17">
        <w:rPr>
          <w:rFonts w:ascii="Times New Roman" w:hAnsi="Times New Roman" w:cs="Times New Roman"/>
        </w:rPr>
        <w:t>nas</w:t>
      </w:r>
      <w:r>
        <w:rPr>
          <w:rFonts w:ascii="Times New Roman" w:hAnsi="Times New Roman" w:cs="Times New Roman"/>
        </w:rPr>
        <w:t xml:space="preserve"> Demonstrações Financeiras </w:t>
      </w:r>
      <w:r w:rsidR="0008475B">
        <w:rPr>
          <w:rFonts w:ascii="Times New Roman" w:hAnsi="Times New Roman" w:cs="Times New Roman"/>
        </w:rPr>
        <w:t>Padronizadas</w:t>
      </w:r>
      <w:r w:rsidR="005F06D3">
        <w:rPr>
          <w:rFonts w:ascii="Times New Roman" w:hAnsi="Times New Roman" w:cs="Times New Roman"/>
        </w:rPr>
        <w:t xml:space="preserve"> – DFP</w:t>
      </w:r>
      <w:r w:rsidR="00A5697D">
        <w:rPr>
          <w:rFonts w:ascii="Times New Roman" w:hAnsi="Times New Roman" w:cs="Times New Roman"/>
        </w:rPr>
        <w:t>,</w:t>
      </w:r>
      <w:r w:rsidR="00177B17">
        <w:rPr>
          <w:rFonts w:ascii="Times New Roman" w:hAnsi="Times New Roman" w:cs="Times New Roman"/>
        </w:rPr>
        <w:t xml:space="preserve"> </w:t>
      </w:r>
      <w:r w:rsidR="00E73F24">
        <w:rPr>
          <w:rFonts w:ascii="Times New Roman" w:hAnsi="Times New Roman" w:cs="Times New Roman"/>
        </w:rPr>
        <w:t xml:space="preserve">com </w:t>
      </w:r>
      <w:r w:rsidR="00177B17">
        <w:rPr>
          <w:rFonts w:ascii="Times New Roman" w:hAnsi="Times New Roman" w:cs="Times New Roman"/>
        </w:rPr>
        <w:t>refer</w:t>
      </w:r>
      <w:r w:rsidR="00E73F24">
        <w:rPr>
          <w:rFonts w:ascii="Times New Roman" w:hAnsi="Times New Roman" w:cs="Times New Roman"/>
        </w:rPr>
        <w:t>ência</w:t>
      </w:r>
      <w:r w:rsidR="00177B17">
        <w:rPr>
          <w:rFonts w:ascii="Times New Roman" w:hAnsi="Times New Roman" w:cs="Times New Roman"/>
        </w:rPr>
        <w:t xml:space="preserve"> ao período de 2010 a 2019</w:t>
      </w:r>
      <w:r w:rsidR="005F06D3">
        <w:rPr>
          <w:rFonts w:ascii="Times New Roman" w:hAnsi="Times New Roman" w:cs="Times New Roman"/>
        </w:rPr>
        <w:t xml:space="preserve">. </w:t>
      </w:r>
      <w:r w:rsidR="00A5697D">
        <w:rPr>
          <w:rFonts w:ascii="Times New Roman" w:hAnsi="Times New Roman" w:cs="Times New Roman"/>
        </w:rPr>
        <w:t>As</w:t>
      </w:r>
      <w:r w:rsidR="008E4E31">
        <w:rPr>
          <w:rFonts w:ascii="Times New Roman" w:hAnsi="Times New Roman" w:cs="Times New Roman"/>
        </w:rPr>
        <w:t xml:space="preserve"> fórmulas </w:t>
      </w:r>
      <w:r w:rsidR="00A5697D">
        <w:rPr>
          <w:rFonts w:ascii="Times New Roman" w:hAnsi="Times New Roman" w:cs="Times New Roman"/>
        </w:rPr>
        <w:t>utilizadas</w:t>
      </w:r>
      <w:r w:rsidR="00C83281">
        <w:rPr>
          <w:rFonts w:ascii="Times New Roman" w:hAnsi="Times New Roman" w:cs="Times New Roman"/>
        </w:rPr>
        <w:t xml:space="preserve"> para o</w:t>
      </w:r>
      <w:r w:rsidR="008E4E31">
        <w:rPr>
          <w:rFonts w:ascii="Times New Roman" w:hAnsi="Times New Roman" w:cs="Times New Roman"/>
        </w:rPr>
        <w:t xml:space="preserve"> cálculo d</w:t>
      </w:r>
      <w:r w:rsidR="00C83281">
        <w:rPr>
          <w:rFonts w:ascii="Times New Roman" w:hAnsi="Times New Roman" w:cs="Times New Roman"/>
        </w:rPr>
        <w:t>as</w:t>
      </w:r>
      <w:r w:rsidR="008E4E31">
        <w:rPr>
          <w:rFonts w:ascii="Times New Roman" w:hAnsi="Times New Roman" w:cs="Times New Roman"/>
        </w:rPr>
        <w:t xml:space="preserve"> </w:t>
      </w:r>
      <w:proofErr w:type="spellStart"/>
      <w:r w:rsidR="0075699D">
        <w:rPr>
          <w:rFonts w:ascii="Times New Roman" w:hAnsi="Times New Roman" w:cs="Times New Roman"/>
        </w:rPr>
        <w:t>Cash</w:t>
      </w:r>
      <w:r w:rsidR="008E4E31">
        <w:rPr>
          <w:rFonts w:ascii="Times New Roman" w:hAnsi="Times New Roman" w:cs="Times New Roman"/>
        </w:rPr>
        <w:t>ETR</w:t>
      </w:r>
      <w:r w:rsidR="006D7D3B">
        <w:rPr>
          <w:rFonts w:ascii="Times New Roman" w:hAnsi="Times New Roman" w:cs="Times New Roman"/>
        </w:rPr>
        <w:t>t</w:t>
      </w:r>
      <w:proofErr w:type="spellEnd"/>
      <w:r w:rsidR="0075699D">
        <w:rPr>
          <w:rFonts w:ascii="Times New Roman" w:hAnsi="Times New Roman" w:cs="Times New Roman"/>
        </w:rPr>
        <w:t xml:space="preserve"> e </w:t>
      </w:r>
      <w:proofErr w:type="spellStart"/>
      <w:r w:rsidR="0075699D">
        <w:rPr>
          <w:rFonts w:ascii="Times New Roman" w:hAnsi="Times New Roman" w:cs="Times New Roman"/>
        </w:rPr>
        <w:t>CashETR</w:t>
      </w:r>
      <w:r w:rsidR="006D7D3B">
        <w:rPr>
          <w:rFonts w:ascii="Times New Roman" w:hAnsi="Times New Roman" w:cs="Times New Roman"/>
        </w:rPr>
        <w:t>c</w:t>
      </w:r>
      <w:proofErr w:type="spellEnd"/>
      <w:r w:rsidR="00BD528F">
        <w:rPr>
          <w:rFonts w:ascii="Times New Roman" w:hAnsi="Times New Roman" w:cs="Times New Roman"/>
        </w:rPr>
        <w:t xml:space="preserve"> </w:t>
      </w:r>
      <w:r w:rsidR="00A5697D">
        <w:rPr>
          <w:rFonts w:ascii="Times New Roman" w:hAnsi="Times New Roman" w:cs="Times New Roman"/>
        </w:rPr>
        <w:t>nos quinquênios de 2010 a 2014 e de 2015 a 2019 estão descritas abaixo</w:t>
      </w:r>
      <w:r w:rsidR="00171D19">
        <w:rPr>
          <w:rFonts w:ascii="Times New Roman" w:hAnsi="Times New Roman" w:cs="Times New Roman"/>
        </w:rPr>
        <w:t>:</w:t>
      </w:r>
    </w:p>
    <w:p w14:paraId="24BBD9AB" w14:textId="15EB0BF7" w:rsidR="00CB5C9F" w:rsidRPr="00B32ABD" w:rsidRDefault="00A33ADD" w:rsidP="00746F27">
      <w:pPr>
        <w:jc w:val="both"/>
        <w:rPr>
          <w:rFonts w:ascii="Times New Roman" w:hAnsi="Times New Roman" w:cs="Times New Roman"/>
          <w:sz w:val="22"/>
          <w:szCs w:val="22"/>
        </w:rPr>
      </w:pPr>
      <w:r w:rsidRPr="00B32ABD">
        <w:rPr>
          <w:rFonts w:ascii="Times New Roman" w:hAnsi="Times New Roman" w:cs="Times New Roman"/>
          <w:sz w:val="22"/>
          <w:szCs w:val="22"/>
        </w:rPr>
        <w:t>Fórmula</w:t>
      </w:r>
      <w:r w:rsidR="00CB5C9F" w:rsidRPr="00B32ABD">
        <w:rPr>
          <w:rFonts w:ascii="Times New Roman" w:hAnsi="Times New Roman" w:cs="Times New Roman"/>
          <w:sz w:val="22"/>
          <w:szCs w:val="22"/>
        </w:rPr>
        <w:t xml:space="preserve"> 1 – Fórmulas da</w:t>
      </w:r>
      <w:r w:rsidR="001D0599" w:rsidRPr="00B32ABD">
        <w:rPr>
          <w:rFonts w:ascii="Times New Roman" w:hAnsi="Times New Roman" w:cs="Times New Roman"/>
          <w:sz w:val="22"/>
          <w:szCs w:val="22"/>
        </w:rPr>
        <w:t>s</w:t>
      </w:r>
      <w:r w:rsidR="00CB5C9F" w:rsidRPr="00B32ABD">
        <w:rPr>
          <w:rFonts w:ascii="Times New Roman" w:hAnsi="Times New Roman" w:cs="Times New Roman"/>
          <w:sz w:val="22"/>
          <w:szCs w:val="22"/>
        </w:rPr>
        <w:t xml:space="preserve"> </w:t>
      </w:r>
      <w:proofErr w:type="spellStart"/>
      <w:r w:rsidR="00CB5C9F" w:rsidRPr="00B32ABD">
        <w:rPr>
          <w:rFonts w:ascii="Times New Roman" w:hAnsi="Times New Roman" w:cs="Times New Roman"/>
          <w:sz w:val="22"/>
          <w:szCs w:val="22"/>
        </w:rPr>
        <w:t>CashETRt</w:t>
      </w:r>
      <w:proofErr w:type="spellEnd"/>
      <w:r w:rsidR="00CB5C9F" w:rsidRPr="00B32ABD">
        <w:rPr>
          <w:rFonts w:ascii="Times New Roman" w:hAnsi="Times New Roman" w:cs="Times New Roman"/>
          <w:sz w:val="22"/>
          <w:szCs w:val="22"/>
        </w:rPr>
        <w:t xml:space="preserve"> e </w:t>
      </w:r>
      <w:proofErr w:type="spellStart"/>
      <w:r w:rsidR="00CB5C9F" w:rsidRPr="00B32ABD">
        <w:rPr>
          <w:rFonts w:ascii="Times New Roman" w:hAnsi="Times New Roman" w:cs="Times New Roman"/>
          <w:sz w:val="22"/>
          <w:szCs w:val="22"/>
        </w:rPr>
        <w:t>CashETRc</w:t>
      </w:r>
      <w:proofErr w:type="spellEnd"/>
      <w:r w:rsidR="001D0599" w:rsidRPr="00B32ABD">
        <w:rPr>
          <w:rFonts w:ascii="Times New Roman" w:hAnsi="Times New Roman" w:cs="Times New Roman"/>
          <w:sz w:val="22"/>
          <w:szCs w:val="22"/>
        </w:rPr>
        <w:t xml:space="preserve"> nos quinquênios de 2015 a 2019 e 2010 a 2014</w:t>
      </w:r>
    </w:p>
    <w:p w14:paraId="726F216E" w14:textId="77777777" w:rsidR="00865ADB" w:rsidRDefault="00865ADB"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rPr>
      </w:pPr>
    </w:p>
    <w:p w14:paraId="4AEAB9EA" w14:textId="61CC3737" w:rsidR="006411FC" w:rsidRPr="00B32ABD" w:rsidRDefault="009068C5"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color w:val="111111"/>
          <w:sz w:val="22"/>
          <w:szCs w:val="22"/>
          <w:shd w:val="clear" w:color="auto" w:fill="FFFFFF"/>
        </w:rPr>
      </w:pPr>
      <w:proofErr w:type="spellStart"/>
      <w:r w:rsidRPr="00B32ABD">
        <w:rPr>
          <w:rFonts w:ascii="Times New Roman" w:hAnsi="Times New Roman" w:cs="Times New Roman"/>
          <w:sz w:val="22"/>
          <w:szCs w:val="22"/>
        </w:rPr>
        <w:t>Cash</w:t>
      </w:r>
      <w:r w:rsidR="00171D19" w:rsidRPr="00B32ABD">
        <w:rPr>
          <w:rFonts w:ascii="Times New Roman" w:hAnsi="Times New Roman" w:cs="Times New Roman"/>
          <w:sz w:val="22"/>
          <w:szCs w:val="22"/>
        </w:rPr>
        <w:t>ETR</w:t>
      </w:r>
      <w:r w:rsidR="006D7D3B" w:rsidRPr="00B32ABD">
        <w:rPr>
          <w:rFonts w:ascii="Times New Roman" w:hAnsi="Times New Roman" w:cs="Times New Roman"/>
          <w:sz w:val="22"/>
          <w:szCs w:val="22"/>
        </w:rPr>
        <w:t>t</w:t>
      </w:r>
      <w:proofErr w:type="spellEnd"/>
      <w:r w:rsidR="00E24C0D" w:rsidRPr="00B32ABD">
        <w:rPr>
          <w:rFonts w:ascii="Times New Roman" w:hAnsi="Times New Roman" w:cs="Times New Roman"/>
          <w:sz w:val="22"/>
          <w:szCs w:val="22"/>
        </w:rPr>
        <w:t xml:space="preserve"> </w:t>
      </w:r>
      <w:r w:rsidR="00E24C0D" w:rsidRPr="00B32ABD">
        <w:rPr>
          <w:rFonts w:ascii="Times New Roman" w:hAnsi="Times New Roman" w:cs="Times New Roman"/>
          <w:kern w:val="24"/>
          <w:sz w:val="22"/>
          <w:szCs w:val="22"/>
          <w:vertAlign w:val="subscript"/>
        </w:rPr>
        <w:t>2010 a 2014</w:t>
      </w:r>
      <w:r w:rsidR="00E24C0D" w:rsidRPr="00B32ABD">
        <w:rPr>
          <w:rFonts w:ascii="Times New Roman" w:hAnsi="Times New Roman" w:cs="Times New Roman"/>
          <w:sz w:val="22"/>
          <w:szCs w:val="22"/>
        </w:rPr>
        <w:t xml:space="preserve"> </w:t>
      </w:r>
      <w:r w:rsidR="00171D19" w:rsidRPr="00B32ABD">
        <w:rPr>
          <w:rFonts w:ascii="Times New Roman" w:hAnsi="Times New Roman" w:cs="Times New Roman"/>
          <w:sz w:val="22"/>
          <w:szCs w:val="22"/>
        </w:rPr>
        <w:t xml:space="preserve">= </w:t>
      </w:r>
      <w:r w:rsidR="00434480" w:rsidRPr="00B32ABD">
        <w:rPr>
          <w:rFonts w:ascii="Times New Roman" w:hAnsi="Times New Roman" w:cs="Times New Roman"/>
          <w:color w:val="111111"/>
          <w:sz w:val="22"/>
          <w:szCs w:val="22"/>
          <w:u w:val="single"/>
          <w:shd w:val="clear" w:color="auto" w:fill="FFFFFF"/>
        </w:rPr>
        <w:t xml:space="preserve">Σ </w:t>
      </w:r>
      <w:r w:rsidR="00434480" w:rsidRPr="00B32ABD">
        <w:rPr>
          <w:rFonts w:ascii="Times New Roman" w:hAnsi="Times New Roman" w:cs="Times New Roman"/>
          <w:color w:val="111111"/>
          <w:kern w:val="24"/>
          <w:sz w:val="22"/>
          <w:szCs w:val="22"/>
          <w:u w:val="single"/>
          <w:shd w:val="clear" w:color="auto" w:fill="FFFFFF"/>
          <w:vertAlign w:val="subscript"/>
        </w:rPr>
        <w:t>2010 a 2014</w:t>
      </w:r>
      <w:r w:rsidR="00434480" w:rsidRPr="00B32ABD">
        <w:rPr>
          <w:rFonts w:ascii="Times New Roman" w:hAnsi="Times New Roman" w:cs="Times New Roman"/>
          <w:color w:val="111111"/>
          <w:sz w:val="22"/>
          <w:szCs w:val="22"/>
          <w:u w:val="single"/>
          <w:shd w:val="clear" w:color="auto" w:fill="FFFFFF"/>
        </w:rPr>
        <w:t xml:space="preserve"> despesas tributárias totais</w:t>
      </w:r>
      <w:r w:rsidR="006411FC" w:rsidRPr="00B32ABD">
        <w:rPr>
          <w:rFonts w:ascii="Times New Roman" w:hAnsi="Times New Roman" w:cs="Times New Roman"/>
          <w:color w:val="111111"/>
          <w:sz w:val="22"/>
          <w:szCs w:val="22"/>
          <w:shd w:val="clear" w:color="auto" w:fill="FFFFFF"/>
        </w:rPr>
        <w:t xml:space="preserve"> x (-1)</w:t>
      </w:r>
      <w:r w:rsidR="00434480" w:rsidRPr="00B32ABD">
        <w:rPr>
          <w:rFonts w:ascii="Times New Roman" w:hAnsi="Times New Roman" w:cs="Times New Roman"/>
          <w:color w:val="111111"/>
          <w:sz w:val="22"/>
          <w:szCs w:val="22"/>
          <w:shd w:val="clear" w:color="auto" w:fill="FFFFFF"/>
        </w:rPr>
        <w:t xml:space="preserve"> </w:t>
      </w:r>
    </w:p>
    <w:p w14:paraId="1149924F" w14:textId="292ADCD9" w:rsidR="00171D19" w:rsidRPr="00B32ABD" w:rsidRDefault="006411FC" w:rsidP="00C530DD">
      <w:pPr>
        <w:pBdr>
          <w:top w:val="single" w:sz="4" w:space="1" w:color="auto"/>
          <w:left w:val="single" w:sz="4" w:space="0" w:color="auto"/>
          <w:bottom w:val="single" w:sz="4" w:space="1" w:color="auto"/>
          <w:right w:val="single" w:sz="4" w:space="4" w:color="auto"/>
        </w:pBdr>
        <w:shd w:val="clear" w:color="auto" w:fill="FFFFFF" w:themeFill="background1"/>
        <w:spacing w:after="120"/>
        <w:jc w:val="center"/>
        <w:rPr>
          <w:rFonts w:ascii="Times New Roman" w:hAnsi="Times New Roman" w:cs="Times New Roman"/>
          <w:color w:val="111111"/>
          <w:sz w:val="22"/>
          <w:szCs w:val="22"/>
          <w:shd w:val="clear" w:color="auto" w:fill="FFFFFF"/>
        </w:rPr>
      </w:pPr>
      <w:r w:rsidRPr="00B32ABD">
        <w:rPr>
          <w:rFonts w:ascii="Times New Roman" w:hAnsi="Times New Roman" w:cs="Times New Roman"/>
          <w:color w:val="111111"/>
          <w:sz w:val="22"/>
          <w:szCs w:val="22"/>
          <w:shd w:val="clear" w:color="auto" w:fill="FFFFFF"/>
        </w:rPr>
        <w:t xml:space="preserve">             Σ </w:t>
      </w:r>
      <w:r w:rsidRPr="00B32ABD">
        <w:rPr>
          <w:rFonts w:ascii="Times New Roman" w:hAnsi="Times New Roman" w:cs="Times New Roman"/>
          <w:color w:val="111111"/>
          <w:kern w:val="24"/>
          <w:sz w:val="22"/>
          <w:szCs w:val="22"/>
          <w:shd w:val="clear" w:color="auto" w:fill="FFFFFF"/>
          <w:vertAlign w:val="subscript"/>
        </w:rPr>
        <w:t>2010 a 2014</w:t>
      </w:r>
      <w:r w:rsidRPr="00B32ABD">
        <w:rPr>
          <w:rFonts w:ascii="Times New Roman" w:hAnsi="Times New Roman" w:cs="Times New Roman"/>
          <w:color w:val="111111"/>
          <w:sz w:val="22"/>
          <w:szCs w:val="22"/>
          <w:shd w:val="clear" w:color="auto" w:fill="FFFFFF"/>
        </w:rPr>
        <w:t xml:space="preserve"> LAIR</w:t>
      </w:r>
    </w:p>
    <w:p w14:paraId="54400683" w14:textId="77777777" w:rsidR="00865ADB" w:rsidRPr="00B32ABD" w:rsidRDefault="00865ADB"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sz w:val="22"/>
          <w:szCs w:val="22"/>
        </w:rPr>
      </w:pPr>
    </w:p>
    <w:p w14:paraId="5293704E" w14:textId="2C625ABE" w:rsidR="006411FC" w:rsidRPr="00B32ABD" w:rsidRDefault="006411FC"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color w:val="111111"/>
          <w:sz w:val="22"/>
          <w:szCs w:val="22"/>
          <w:shd w:val="clear" w:color="auto" w:fill="FFFFFF"/>
        </w:rPr>
      </w:pPr>
      <w:proofErr w:type="spellStart"/>
      <w:r w:rsidRPr="00B32ABD">
        <w:rPr>
          <w:rFonts w:ascii="Times New Roman" w:hAnsi="Times New Roman" w:cs="Times New Roman"/>
          <w:sz w:val="22"/>
          <w:szCs w:val="22"/>
        </w:rPr>
        <w:t>CashETRc</w:t>
      </w:r>
      <w:proofErr w:type="spellEnd"/>
      <w:r w:rsidRPr="00B32ABD">
        <w:rPr>
          <w:rFonts w:ascii="Times New Roman" w:hAnsi="Times New Roman" w:cs="Times New Roman"/>
          <w:sz w:val="22"/>
          <w:szCs w:val="22"/>
        </w:rPr>
        <w:t xml:space="preserve"> </w:t>
      </w:r>
      <w:r w:rsidRPr="00B32ABD">
        <w:rPr>
          <w:rFonts w:ascii="Times New Roman" w:hAnsi="Times New Roman" w:cs="Times New Roman"/>
          <w:kern w:val="24"/>
          <w:sz w:val="22"/>
          <w:szCs w:val="22"/>
          <w:vertAlign w:val="subscript"/>
        </w:rPr>
        <w:t>2010 a 2014</w:t>
      </w:r>
      <w:r w:rsidRPr="00B32ABD">
        <w:rPr>
          <w:rFonts w:ascii="Times New Roman" w:hAnsi="Times New Roman" w:cs="Times New Roman"/>
          <w:sz w:val="22"/>
          <w:szCs w:val="22"/>
        </w:rPr>
        <w:t xml:space="preserve"> = </w:t>
      </w:r>
      <w:r w:rsidRPr="00B32ABD">
        <w:rPr>
          <w:rFonts w:ascii="Times New Roman" w:hAnsi="Times New Roman" w:cs="Times New Roman"/>
          <w:color w:val="111111"/>
          <w:sz w:val="22"/>
          <w:szCs w:val="22"/>
          <w:u w:val="single"/>
          <w:shd w:val="clear" w:color="auto" w:fill="FFFFFF"/>
        </w:rPr>
        <w:t xml:space="preserve">Σ </w:t>
      </w:r>
      <w:r w:rsidRPr="00B32ABD">
        <w:rPr>
          <w:rFonts w:ascii="Times New Roman" w:hAnsi="Times New Roman" w:cs="Times New Roman"/>
          <w:color w:val="111111"/>
          <w:kern w:val="24"/>
          <w:sz w:val="22"/>
          <w:szCs w:val="22"/>
          <w:u w:val="single"/>
          <w:shd w:val="clear" w:color="auto" w:fill="FFFFFF"/>
          <w:vertAlign w:val="subscript"/>
        </w:rPr>
        <w:t>2010 a 2014</w:t>
      </w:r>
      <w:r w:rsidRPr="00B32ABD">
        <w:rPr>
          <w:rFonts w:ascii="Times New Roman" w:hAnsi="Times New Roman" w:cs="Times New Roman"/>
          <w:color w:val="111111"/>
          <w:sz w:val="22"/>
          <w:szCs w:val="22"/>
          <w:u w:val="single"/>
          <w:shd w:val="clear" w:color="auto" w:fill="FFFFFF"/>
        </w:rPr>
        <w:t xml:space="preserve"> despesas tributárias correntes</w:t>
      </w:r>
      <w:r w:rsidRPr="00B32ABD">
        <w:rPr>
          <w:rFonts w:ascii="Times New Roman" w:hAnsi="Times New Roman" w:cs="Times New Roman"/>
          <w:color w:val="111111"/>
          <w:sz w:val="22"/>
          <w:szCs w:val="22"/>
          <w:shd w:val="clear" w:color="auto" w:fill="FFFFFF"/>
        </w:rPr>
        <w:t xml:space="preserve"> x (-1)  </w:t>
      </w:r>
    </w:p>
    <w:p w14:paraId="7D484F44" w14:textId="4CBA92EE" w:rsidR="006411FC" w:rsidRPr="00B32ABD" w:rsidRDefault="006411FC" w:rsidP="00C530DD">
      <w:pPr>
        <w:pBdr>
          <w:top w:val="single" w:sz="4" w:space="1" w:color="auto"/>
          <w:left w:val="single" w:sz="4" w:space="0" w:color="auto"/>
          <w:bottom w:val="single" w:sz="4" w:space="1" w:color="auto"/>
          <w:right w:val="single" w:sz="4" w:space="4" w:color="auto"/>
        </w:pBdr>
        <w:shd w:val="clear" w:color="auto" w:fill="FFFFFF" w:themeFill="background1"/>
        <w:spacing w:after="120"/>
        <w:jc w:val="center"/>
        <w:rPr>
          <w:rFonts w:ascii="Times New Roman" w:hAnsi="Times New Roman" w:cs="Times New Roman"/>
          <w:color w:val="111111"/>
          <w:sz w:val="22"/>
          <w:szCs w:val="22"/>
          <w:shd w:val="clear" w:color="auto" w:fill="FFFFFF"/>
        </w:rPr>
      </w:pPr>
      <w:r w:rsidRPr="00B32ABD">
        <w:rPr>
          <w:rFonts w:ascii="Times New Roman" w:hAnsi="Times New Roman" w:cs="Times New Roman"/>
          <w:color w:val="111111"/>
          <w:sz w:val="22"/>
          <w:szCs w:val="22"/>
          <w:shd w:val="clear" w:color="auto" w:fill="FFFFFF"/>
        </w:rPr>
        <w:t xml:space="preserve">             Σ </w:t>
      </w:r>
      <w:r w:rsidRPr="00B32ABD">
        <w:rPr>
          <w:rFonts w:ascii="Times New Roman" w:hAnsi="Times New Roman" w:cs="Times New Roman"/>
          <w:color w:val="111111"/>
          <w:kern w:val="24"/>
          <w:sz w:val="22"/>
          <w:szCs w:val="22"/>
          <w:shd w:val="clear" w:color="auto" w:fill="FFFFFF"/>
          <w:vertAlign w:val="subscript"/>
        </w:rPr>
        <w:t>2010 a 2014</w:t>
      </w:r>
      <w:r w:rsidRPr="00B32ABD">
        <w:rPr>
          <w:rFonts w:ascii="Times New Roman" w:hAnsi="Times New Roman" w:cs="Times New Roman"/>
          <w:color w:val="111111"/>
          <w:sz w:val="22"/>
          <w:szCs w:val="22"/>
          <w:shd w:val="clear" w:color="auto" w:fill="FFFFFF"/>
        </w:rPr>
        <w:t xml:space="preserve"> LAIR</w:t>
      </w:r>
    </w:p>
    <w:p w14:paraId="2B9FA0FD" w14:textId="77777777" w:rsidR="00865ADB" w:rsidRPr="00B32ABD" w:rsidRDefault="00865ADB"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sz w:val="22"/>
          <w:szCs w:val="22"/>
        </w:rPr>
      </w:pPr>
    </w:p>
    <w:p w14:paraId="5E046C3D" w14:textId="3746A11D" w:rsidR="006411FC" w:rsidRPr="00B32ABD" w:rsidRDefault="006411FC"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color w:val="111111"/>
          <w:sz w:val="22"/>
          <w:szCs w:val="22"/>
          <w:shd w:val="clear" w:color="auto" w:fill="FFFFFF"/>
        </w:rPr>
      </w:pPr>
      <w:proofErr w:type="spellStart"/>
      <w:r w:rsidRPr="00B32ABD">
        <w:rPr>
          <w:rFonts w:ascii="Times New Roman" w:hAnsi="Times New Roman" w:cs="Times New Roman"/>
          <w:sz w:val="22"/>
          <w:szCs w:val="22"/>
        </w:rPr>
        <w:t>CashETRt</w:t>
      </w:r>
      <w:proofErr w:type="spellEnd"/>
      <w:r w:rsidRPr="00B32ABD">
        <w:rPr>
          <w:rFonts w:ascii="Times New Roman" w:hAnsi="Times New Roman" w:cs="Times New Roman"/>
          <w:sz w:val="22"/>
          <w:szCs w:val="22"/>
        </w:rPr>
        <w:t xml:space="preserve"> </w:t>
      </w:r>
      <w:r w:rsidRPr="00B32ABD">
        <w:rPr>
          <w:rFonts w:ascii="Times New Roman" w:hAnsi="Times New Roman" w:cs="Times New Roman"/>
          <w:kern w:val="24"/>
          <w:sz w:val="22"/>
          <w:szCs w:val="22"/>
          <w:vertAlign w:val="subscript"/>
        </w:rPr>
        <w:t>2015 a 2019</w:t>
      </w:r>
      <w:r w:rsidRPr="00B32ABD">
        <w:rPr>
          <w:rFonts w:ascii="Times New Roman" w:hAnsi="Times New Roman" w:cs="Times New Roman"/>
          <w:sz w:val="22"/>
          <w:szCs w:val="22"/>
        </w:rPr>
        <w:t xml:space="preserve"> = </w:t>
      </w:r>
      <w:r w:rsidRPr="00B32ABD">
        <w:rPr>
          <w:rFonts w:ascii="Times New Roman" w:hAnsi="Times New Roman" w:cs="Times New Roman"/>
          <w:color w:val="111111"/>
          <w:sz w:val="22"/>
          <w:szCs w:val="22"/>
          <w:u w:val="single"/>
          <w:shd w:val="clear" w:color="auto" w:fill="FFFFFF"/>
        </w:rPr>
        <w:t xml:space="preserve">Σ </w:t>
      </w:r>
      <w:r w:rsidRPr="00B32ABD">
        <w:rPr>
          <w:rFonts w:ascii="Times New Roman" w:hAnsi="Times New Roman" w:cs="Times New Roman"/>
          <w:color w:val="111111"/>
          <w:kern w:val="24"/>
          <w:sz w:val="22"/>
          <w:szCs w:val="22"/>
          <w:u w:val="single"/>
          <w:shd w:val="clear" w:color="auto" w:fill="FFFFFF"/>
          <w:vertAlign w:val="subscript"/>
        </w:rPr>
        <w:t>201</w:t>
      </w:r>
      <w:r w:rsidR="00DD005F" w:rsidRPr="00B32ABD">
        <w:rPr>
          <w:rFonts w:ascii="Times New Roman" w:hAnsi="Times New Roman" w:cs="Times New Roman"/>
          <w:color w:val="111111"/>
          <w:kern w:val="24"/>
          <w:sz w:val="22"/>
          <w:szCs w:val="22"/>
          <w:u w:val="single"/>
          <w:shd w:val="clear" w:color="auto" w:fill="FFFFFF"/>
          <w:vertAlign w:val="subscript"/>
        </w:rPr>
        <w:t>5</w:t>
      </w:r>
      <w:r w:rsidRPr="00B32ABD">
        <w:rPr>
          <w:rFonts w:ascii="Times New Roman" w:hAnsi="Times New Roman" w:cs="Times New Roman"/>
          <w:color w:val="111111"/>
          <w:kern w:val="24"/>
          <w:sz w:val="22"/>
          <w:szCs w:val="22"/>
          <w:u w:val="single"/>
          <w:shd w:val="clear" w:color="auto" w:fill="FFFFFF"/>
          <w:vertAlign w:val="subscript"/>
        </w:rPr>
        <w:t xml:space="preserve"> a 201</w:t>
      </w:r>
      <w:r w:rsidR="00DD005F" w:rsidRPr="00B32ABD">
        <w:rPr>
          <w:rFonts w:ascii="Times New Roman" w:hAnsi="Times New Roman" w:cs="Times New Roman"/>
          <w:color w:val="111111"/>
          <w:kern w:val="24"/>
          <w:sz w:val="22"/>
          <w:szCs w:val="22"/>
          <w:u w:val="single"/>
          <w:shd w:val="clear" w:color="auto" w:fill="FFFFFF"/>
          <w:vertAlign w:val="subscript"/>
        </w:rPr>
        <w:t>9</w:t>
      </w:r>
      <w:r w:rsidRPr="00B32ABD">
        <w:rPr>
          <w:rFonts w:ascii="Times New Roman" w:hAnsi="Times New Roman" w:cs="Times New Roman"/>
          <w:color w:val="111111"/>
          <w:sz w:val="22"/>
          <w:szCs w:val="22"/>
          <w:u w:val="single"/>
          <w:shd w:val="clear" w:color="auto" w:fill="FFFFFF"/>
        </w:rPr>
        <w:t xml:space="preserve"> despesas tributárias totais</w:t>
      </w:r>
      <w:r w:rsidRPr="00B32ABD">
        <w:rPr>
          <w:rFonts w:ascii="Times New Roman" w:hAnsi="Times New Roman" w:cs="Times New Roman"/>
          <w:color w:val="111111"/>
          <w:sz w:val="22"/>
          <w:szCs w:val="22"/>
          <w:shd w:val="clear" w:color="auto" w:fill="FFFFFF"/>
        </w:rPr>
        <w:t xml:space="preserve"> x (-1)    </w:t>
      </w:r>
    </w:p>
    <w:p w14:paraId="6AB95199" w14:textId="1A7167D1" w:rsidR="006411FC" w:rsidRPr="00B32ABD" w:rsidRDefault="006411FC" w:rsidP="00C530DD">
      <w:pPr>
        <w:pBdr>
          <w:top w:val="single" w:sz="4" w:space="1" w:color="auto"/>
          <w:left w:val="single" w:sz="4" w:space="0" w:color="auto"/>
          <w:bottom w:val="single" w:sz="4" w:space="1" w:color="auto"/>
          <w:right w:val="single" w:sz="4" w:space="4" w:color="auto"/>
        </w:pBdr>
        <w:shd w:val="clear" w:color="auto" w:fill="FFFFFF" w:themeFill="background1"/>
        <w:spacing w:after="120"/>
        <w:jc w:val="center"/>
        <w:rPr>
          <w:rFonts w:ascii="Times New Roman" w:hAnsi="Times New Roman" w:cs="Times New Roman"/>
          <w:color w:val="111111"/>
          <w:sz w:val="22"/>
          <w:szCs w:val="22"/>
          <w:shd w:val="clear" w:color="auto" w:fill="FFFFFF"/>
        </w:rPr>
      </w:pPr>
      <w:r w:rsidRPr="00B32ABD">
        <w:rPr>
          <w:rFonts w:ascii="Times New Roman" w:hAnsi="Times New Roman" w:cs="Times New Roman"/>
          <w:color w:val="111111"/>
          <w:sz w:val="22"/>
          <w:szCs w:val="22"/>
          <w:shd w:val="clear" w:color="auto" w:fill="FFFFFF"/>
        </w:rPr>
        <w:t xml:space="preserve">             Σ </w:t>
      </w:r>
      <w:r w:rsidRPr="00B32ABD">
        <w:rPr>
          <w:rFonts w:ascii="Times New Roman" w:hAnsi="Times New Roman" w:cs="Times New Roman"/>
          <w:color w:val="111111"/>
          <w:kern w:val="24"/>
          <w:sz w:val="22"/>
          <w:szCs w:val="22"/>
          <w:shd w:val="clear" w:color="auto" w:fill="FFFFFF"/>
          <w:vertAlign w:val="subscript"/>
        </w:rPr>
        <w:t>201</w:t>
      </w:r>
      <w:r w:rsidR="00DD005F" w:rsidRPr="00B32ABD">
        <w:rPr>
          <w:rFonts w:ascii="Times New Roman" w:hAnsi="Times New Roman" w:cs="Times New Roman"/>
          <w:color w:val="111111"/>
          <w:kern w:val="24"/>
          <w:sz w:val="22"/>
          <w:szCs w:val="22"/>
          <w:shd w:val="clear" w:color="auto" w:fill="FFFFFF"/>
          <w:vertAlign w:val="subscript"/>
        </w:rPr>
        <w:t>5</w:t>
      </w:r>
      <w:r w:rsidRPr="00B32ABD">
        <w:rPr>
          <w:rFonts w:ascii="Times New Roman" w:hAnsi="Times New Roman" w:cs="Times New Roman"/>
          <w:color w:val="111111"/>
          <w:kern w:val="24"/>
          <w:sz w:val="22"/>
          <w:szCs w:val="22"/>
          <w:shd w:val="clear" w:color="auto" w:fill="FFFFFF"/>
          <w:vertAlign w:val="subscript"/>
        </w:rPr>
        <w:t xml:space="preserve"> a 201</w:t>
      </w:r>
      <w:r w:rsidR="00DD005F" w:rsidRPr="00B32ABD">
        <w:rPr>
          <w:rFonts w:ascii="Times New Roman" w:hAnsi="Times New Roman" w:cs="Times New Roman"/>
          <w:color w:val="111111"/>
          <w:kern w:val="24"/>
          <w:sz w:val="22"/>
          <w:szCs w:val="22"/>
          <w:shd w:val="clear" w:color="auto" w:fill="FFFFFF"/>
          <w:vertAlign w:val="subscript"/>
        </w:rPr>
        <w:t>9</w:t>
      </w:r>
      <w:r w:rsidRPr="00B32ABD">
        <w:rPr>
          <w:rFonts w:ascii="Times New Roman" w:hAnsi="Times New Roman" w:cs="Times New Roman"/>
          <w:color w:val="111111"/>
          <w:sz w:val="22"/>
          <w:szCs w:val="22"/>
          <w:shd w:val="clear" w:color="auto" w:fill="FFFFFF"/>
        </w:rPr>
        <w:t xml:space="preserve"> LAIR</w:t>
      </w:r>
    </w:p>
    <w:p w14:paraId="7E7FB43D" w14:textId="77777777" w:rsidR="00865ADB" w:rsidRPr="00B32ABD" w:rsidRDefault="00865ADB"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sz w:val="22"/>
          <w:szCs w:val="22"/>
        </w:rPr>
      </w:pPr>
    </w:p>
    <w:p w14:paraId="375D5697" w14:textId="25EFE061" w:rsidR="00DD005F" w:rsidRPr="00B32ABD" w:rsidRDefault="00DD005F"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color w:val="111111"/>
          <w:sz w:val="22"/>
          <w:szCs w:val="22"/>
          <w:shd w:val="clear" w:color="auto" w:fill="FFFFFF"/>
        </w:rPr>
      </w:pPr>
      <w:proofErr w:type="spellStart"/>
      <w:r w:rsidRPr="00B32ABD">
        <w:rPr>
          <w:rFonts w:ascii="Times New Roman" w:hAnsi="Times New Roman" w:cs="Times New Roman"/>
          <w:sz w:val="22"/>
          <w:szCs w:val="22"/>
        </w:rPr>
        <w:t>CashETRc</w:t>
      </w:r>
      <w:proofErr w:type="spellEnd"/>
      <w:r w:rsidRPr="00B32ABD">
        <w:rPr>
          <w:rFonts w:ascii="Times New Roman" w:hAnsi="Times New Roman" w:cs="Times New Roman"/>
          <w:sz w:val="22"/>
          <w:szCs w:val="22"/>
        </w:rPr>
        <w:t xml:space="preserve"> </w:t>
      </w:r>
      <w:r w:rsidRPr="00B32ABD">
        <w:rPr>
          <w:rFonts w:ascii="Times New Roman" w:hAnsi="Times New Roman" w:cs="Times New Roman"/>
          <w:kern w:val="24"/>
          <w:sz w:val="22"/>
          <w:szCs w:val="22"/>
          <w:vertAlign w:val="subscript"/>
        </w:rPr>
        <w:t>2015 a 2019</w:t>
      </w:r>
      <w:r w:rsidRPr="00B32ABD">
        <w:rPr>
          <w:rFonts w:ascii="Times New Roman" w:hAnsi="Times New Roman" w:cs="Times New Roman"/>
          <w:sz w:val="22"/>
          <w:szCs w:val="22"/>
        </w:rPr>
        <w:t xml:space="preserve"> = </w:t>
      </w:r>
      <w:r w:rsidRPr="00B32ABD">
        <w:rPr>
          <w:rFonts w:ascii="Times New Roman" w:hAnsi="Times New Roman" w:cs="Times New Roman"/>
          <w:color w:val="111111"/>
          <w:sz w:val="22"/>
          <w:szCs w:val="22"/>
          <w:u w:val="single"/>
          <w:shd w:val="clear" w:color="auto" w:fill="FFFFFF"/>
        </w:rPr>
        <w:t xml:space="preserve">Σ </w:t>
      </w:r>
      <w:r w:rsidRPr="00B32ABD">
        <w:rPr>
          <w:rFonts w:ascii="Times New Roman" w:hAnsi="Times New Roman" w:cs="Times New Roman"/>
          <w:color w:val="111111"/>
          <w:kern w:val="24"/>
          <w:sz w:val="22"/>
          <w:szCs w:val="22"/>
          <w:u w:val="single"/>
          <w:shd w:val="clear" w:color="auto" w:fill="FFFFFF"/>
          <w:vertAlign w:val="subscript"/>
        </w:rPr>
        <w:t>2015 a 2019</w:t>
      </w:r>
      <w:r w:rsidRPr="00B32ABD">
        <w:rPr>
          <w:rFonts w:ascii="Times New Roman" w:hAnsi="Times New Roman" w:cs="Times New Roman"/>
          <w:color w:val="111111"/>
          <w:sz w:val="22"/>
          <w:szCs w:val="22"/>
          <w:u w:val="single"/>
          <w:shd w:val="clear" w:color="auto" w:fill="FFFFFF"/>
        </w:rPr>
        <w:t xml:space="preserve"> despesas tributárias correntes</w:t>
      </w:r>
      <w:r w:rsidRPr="00B32ABD">
        <w:rPr>
          <w:rFonts w:ascii="Times New Roman" w:hAnsi="Times New Roman" w:cs="Times New Roman"/>
          <w:color w:val="111111"/>
          <w:sz w:val="22"/>
          <w:szCs w:val="22"/>
          <w:shd w:val="clear" w:color="auto" w:fill="FFFFFF"/>
        </w:rPr>
        <w:t xml:space="preserve"> x (-1)  </w:t>
      </w:r>
    </w:p>
    <w:p w14:paraId="12CFA4D7" w14:textId="0432818C" w:rsidR="00DD005F" w:rsidRPr="00B32ABD" w:rsidRDefault="00DD005F"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color w:val="111111"/>
          <w:sz w:val="22"/>
          <w:szCs w:val="22"/>
          <w:shd w:val="clear" w:color="auto" w:fill="FFFFFF"/>
        </w:rPr>
      </w:pPr>
      <w:r w:rsidRPr="00B32ABD">
        <w:rPr>
          <w:rFonts w:ascii="Times New Roman" w:hAnsi="Times New Roman" w:cs="Times New Roman"/>
          <w:color w:val="111111"/>
          <w:sz w:val="22"/>
          <w:szCs w:val="22"/>
          <w:shd w:val="clear" w:color="auto" w:fill="FFFFFF"/>
        </w:rPr>
        <w:t xml:space="preserve">             Σ </w:t>
      </w:r>
      <w:r w:rsidRPr="00B32ABD">
        <w:rPr>
          <w:rFonts w:ascii="Times New Roman" w:hAnsi="Times New Roman" w:cs="Times New Roman"/>
          <w:color w:val="111111"/>
          <w:kern w:val="24"/>
          <w:sz w:val="22"/>
          <w:szCs w:val="22"/>
          <w:shd w:val="clear" w:color="auto" w:fill="FFFFFF"/>
          <w:vertAlign w:val="subscript"/>
        </w:rPr>
        <w:t>2015 a 2019</w:t>
      </w:r>
      <w:r w:rsidRPr="00B32ABD">
        <w:rPr>
          <w:rFonts w:ascii="Times New Roman" w:hAnsi="Times New Roman" w:cs="Times New Roman"/>
          <w:color w:val="111111"/>
          <w:sz w:val="22"/>
          <w:szCs w:val="22"/>
          <w:shd w:val="clear" w:color="auto" w:fill="FFFFFF"/>
        </w:rPr>
        <w:t xml:space="preserve"> LAIR</w:t>
      </w:r>
    </w:p>
    <w:p w14:paraId="20A0953A" w14:textId="77777777" w:rsidR="00865ADB" w:rsidRPr="00B32ABD" w:rsidRDefault="00865ADB" w:rsidP="00C530DD">
      <w:pPr>
        <w:pBdr>
          <w:top w:val="single" w:sz="4" w:space="1" w:color="auto"/>
          <w:left w:val="single" w:sz="4" w:space="0" w:color="auto"/>
          <w:bottom w:val="single" w:sz="4" w:space="1" w:color="auto"/>
          <w:right w:val="single" w:sz="4" w:space="4" w:color="auto"/>
        </w:pBdr>
        <w:shd w:val="clear" w:color="auto" w:fill="FFFFFF" w:themeFill="background1"/>
        <w:jc w:val="center"/>
        <w:rPr>
          <w:rFonts w:ascii="Times New Roman" w:hAnsi="Times New Roman" w:cs="Times New Roman"/>
          <w:color w:val="111111"/>
          <w:sz w:val="22"/>
          <w:szCs w:val="22"/>
          <w:shd w:val="clear" w:color="auto" w:fill="FFFFFF"/>
        </w:rPr>
      </w:pPr>
    </w:p>
    <w:p w14:paraId="30892583" w14:textId="6FEB93CD" w:rsidR="00CB5C9F" w:rsidRPr="00B32ABD" w:rsidRDefault="00CB5C9F" w:rsidP="00C530DD">
      <w:pPr>
        <w:shd w:val="clear" w:color="auto" w:fill="FFFFFF" w:themeFill="background1"/>
        <w:spacing w:after="120"/>
        <w:jc w:val="both"/>
        <w:rPr>
          <w:rFonts w:ascii="Times New Roman" w:hAnsi="Times New Roman" w:cs="Times New Roman"/>
          <w:sz w:val="22"/>
          <w:szCs w:val="22"/>
        </w:rPr>
      </w:pPr>
      <w:r w:rsidRPr="00B32ABD">
        <w:rPr>
          <w:rFonts w:ascii="Times New Roman" w:hAnsi="Times New Roman" w:cs="Times New Roman"/>
          <w:sz w:val="22"/>
          <w:szCs w:val="22"/>
        </w:rPr>
        <w:t>Fonte: preparado pelos autores</w:t>
      </w:r>
      <w:r w:rsidR="00B41FB4">
        <w:rPr>
          <w:rFonts w:ascii="Times New Roman" w:hAnsi="Times New Roman" w:cs="Times New Roman"/>
          <w:sz w:val="22"/>
          <w:szCs w:val="22"/>
        </w:rPr>
        <w:t>, 2020.</w:t>
      </w:r>
    </w:p>
    <w:p w14:paraId="4BF4B189" w14:textId="34CC2531" w:rsidR="0075699D" w:rsidRDefault="0075699D" w:rsidP="00F83A22">
      <w:pPr>
        <w:spacing w:after="120"/>
        <w:ind w:firstLine="709"/>
        <w:jc w:val="both"/>
        <w:rPr>
          <w:rFonts w:ascii="Times New Roman" w:hAnsi="Times New Roman" w:cs="Times New Roman"/>
        </w:rPr>
      </w:pPr>
      <w:r>
        <w:rPr>
          <w:rFonts w:ascii="Times New Roman" w:hAnsi="Times New Roman" w:cs="Times New Roman"/>
        </w:rPr>
        <w:t xml:space="preserve">O objetivo da mensuração da variável </w:t>
      </w:r>
      <w:proofErr w:type="spellStart"/>
      <w:r>
        <w:rPr>
          <w:rFonts w:ascii="Times New Roman" w:hAnsi="Times New Roman" w:cs="Times New Roman"/>
        </w:rPr>
        <w:t>CashETRc</w:t>
      </w:r>
      <w:proofErr w:type="spellEnd"/>
      <w:r>
        <w:rPr>
          <w:rFonts w:ascii="Times New Roman" w:hAnsi="Times New Roman" w:cs="Times New Roman"/>
        </w:rPr>
        <w:t xml:space="preserve"> </w:t>
      </w:r>
      <w:r w:rsidR="00BB7AD1">
        <w:rPr>
          <w:rFonts w:ascii="Times New Roman" w:hAnsi="Times New Roman" w:cs="Times New Roman"/>
        </w:rPr>
        <w:t>foi</w:t>
      </w:r>
      <w:r>
        <w:rPr>
          <w:rFonts w:ascii="Times New Roman" w:hAnsi="Times New Roman" w:cs="Times New Roman"/>
        </w:rPr>
        <w:t xml:space="preserve"> o de verificar se o aumento do número de ajustes de adição e</w:t>
      </w:r>
      <w:r w:rsidR="00F239C5">
        <w:rPr>
          <w:rFonts w:ascii="Times New Roman" w:hAnsi="Times New Roman" w:cs="Times New Roman"/>
        </w:rPr>
        <w:t xml:space="preserve"> </w:t>
      </w:r>
      <w:r>
        <w:rPr>
          <w:rFonts w:ascii="Times New Roman" w:hAnsi="Times New Roman" w:cs="Times New Roman"/>
        </w:rPr>
        <w:t>exclusão pela Lei nº 12.973</w:t>
      </w:r>
      <w:r w:rsidR="009B6610">
        <w:rPr>
          <w:rFonts w:ascii="Times New Roman" w:hAnsi="Times New Roman" w:cs="Times New Roman"/>
        </w:rPr>
        <w:t>/</w:t>
      </w:r>
      <w:r>
        <w:rPr>
          <w:rFonts w:ascii="Times New Roman" w:hAnsi="Times New Roman" w:cs="Times New Roman"/>
        </w:rPr>
        <w:t xml:space="preserve">2014 a partir do ano de 2015 implicou em variação na tributação </w:t>
      </w:r>
      <w:r w:rsidR="00F239C5">
        <w:rPr>
          <w:rFonts w:ascii="Times New Roman" w:hAnsi="Times New Roman" w:cs="Times New Roman"/>
        </w:rPr>
        <w:t>corrente incidente sobre o L</w:t>
      </w:r>
      <w:r>
        <w:rPr>
          <w:rFonts w:ascii="Times New Roman" w:hAnsi="Times New Roman" w:cs="Times New Roman"/>
        </w:rPr>
        <w:t xml:space="preserve">AIR. Já a variável </w:t>
      </w:r>
      <w:proofErr w:type="spellStart"/>
      <w:r>
        <w:rPr>
          <w:rFonts w:ascii="Times New Roman" w:hAnsi="Times New Roman" w:cs="Times New Roman"/>
        </w:rPr>
        <w:t>CashETRt</w:t>
      </w:r>
      <w:proofErr w:type="spellEnd"/>
      <w:r>
        <w:rPr>
          <w:rFonts w:ascii="Times New Roman" w:hAnsi="Times New Roman" w:cs="Times New Roman"/>
        </w:rPr>
        <w:t xml:space="preserve"> </w:t>
      </w:r>
      <w:r w:rsidR="00BB7AD1">
        <w:rPr>
          <w:rFonts w:ascii="Times New Roman" w:hAnsi="Times New Roman" w:cs="Times New Roman"/>
        </w:rPr>
        <w:t>foi utilizada por ser</w:t>
      </w:r>
      <w:r>
        <w:rPr>
          <w:rFonts w:ascii="Times New Roman" w:hAnsi="Times New Roman" w:cs="Times New Roman"/>
        </w:rPr>
        <w:t xml:space="preserve"> mais adequada para quantificar a carga tributária total </w:t>
      </w:r>
      <w:r w:rsidR="00F239C5">
        <w:rPr>
          <w:rFonts w:ascii="Times New Roman" w:hAnsi="Times New Roman" w:cs="Times New Roman"/>
        </w:rPr>
        <w:t>que</w:t>
      </w:r>
      <w:r w:rsidR="00A1021A">
        <w:rPr>
          <w:rFonts w:ascii="Times New Roman" w:hAnsi="Times New Roman" w:cs="Times New Roman"/>
        </w:rPr>
        <w:t xml:space="preserve"> efetivamente</w:t>
      </w:r>
      <w:r w:rsidR="00F239C5">
        <w:rPr>
          <w:rFonts w:ascii="Times New Roman" w:hAnsi="Times New Roman" w:cs="Times New Roman"/>
        </w:rPr>
        <w:t xml:space="preserve"> recai</w:t>
      </w:r>
      <w:r w:rsidR="006D7D3B">
        <w:rPr>
          <w:rFonts w:ascii="Times New Roman" w:hAnsi="Times New Roman" w:cs="Times New Roman"/>
        </w:rPr>
        <w:t>u</w:t>
      </w:r>
      <w:r w:rsidR="00F239C5">
        <w:rPr>
          <w:rFonts w:ascii="Times New Roman" w:hAnsi="Times New Roman" w:cs="Times New Roman"/>
        </w:rPr>
        <w:t xml:space="preserve"> </w:t>
      </w:r>
      <w:r>
        <w:rPr>
          <w:rFonts w:ascii="Times New Roman" w:hAnsi="Times New Roman" w:cs="Times New Roman"/>
        </w:rPr>
        <w:t xml:space="preserve">sobre o LAIR, haja vista que considera não só as despesas correntes, mas também as diferidas.    </w:t>
      </w:r>
    </w:p>
    <w:p w14:paraId="7B3CBDC0" w14:textId="37CB5A35" w:rsidR="0075699D" w:rsidRDefault="009E0910" w:rsidP="00F83A22">
      <w:pPr>
        <w:spacing w:after="120"/>
        <w:ind w:firstLine="709"/>
        <w:jc w:val="both"/>
        <w:rPr>
          <w:rFonts w:ascii="Times New Roman" w:hAnsi="Times New Roman" w:cs="Times New Roman"/>
        </w:rPr>
      </w:pPr>
      <w:r>
        <w:rPr>
          <w:rFonts w:ascii="Times New Roman" w:hAnsi="Times New Roman" w:cs="Times New Roman"/>
        </w:rPr>
        <w:t>A</w:t>
      </w:r>
      <w:r w:rsidR="0008475B">
        <w:rPr>
          <w:rFonts w:ascii="Times New Roman" w:hAnsi="Times New Roman" w:cs="Times New Roman"/>
        </w:rPr>
        <w:t xml:space="preserve"> </w:t>
      </w:r>
      <w:r w:rsidR="006C43AB">
        <w:rPr>
          <w:rFonts w:ascii="Times New Roman" w:hAnsi="Times New Roman" w:cs="Times New Roman"/>
        </w:rPr>
        <w:t xml:space="preserve">distribuição </w:t>
      </w:r>
      <w:r w:rsidR="0008475B">
        <w:rPr>
          <w:rFonts w:ascii="Times New Roman" w:hAnsi="Times New Roman" w:cs="Times New Roman"/>
        </w:rPr>
        <w:t>normal das</w:t>
      </w:r>
      <w:r>
        <w:rPr>
          <w:rFonts w:ascii="Times New Roman" w:hAnsi="Times New Roman" w:cs="Times New Roman"/>
        </w:rPr>
        <w:t xml:space="preserve"> amostras de </w:t>
      </w:r>
      <w:proofErr w:type="spellStart"/>
      <w:r w:rsidR="001C7A09">
        <w:rPr>
          <w:rFonts w:ascii="Times New Roman" w:hAnsi="Times New Roman" w:cs="Times New Roman"/>
        </w:rPr>
        <w:t>CashETR</w:t>
      </w:r>
      <w:r w:rsidR="006D7D3B">
        <w:rPr>
          <w:rFonts w:ascii="Times New Roman" w:hAnsi="Times New Roman" w:cs="Times New Roman"/>
        </w:rPr>
        <w:t>t</w:t>
      </w:r>
      <w:proofErr w:type="spellEnd"/>
      <w:r w:rsidR="001C7A09">
        <w:rPr>
          <w:rFonts w:ascii="Times New Roman" w:hAnsi="Times New Roman" w:cs="Times New Roman"/>
        </w:rPr>
        <w:t xml:space="preserve"> e </w:t>
      </w:r>
      <w:proofErr w:type="spellStart"/>
      <w:r w:rsidR="001C7A09">
        <w:rPr>
          <w:rFonts w:ascii="Times New Roman" w:hAnsi="Times New Roman" w:cs="Times New Roman"/>
        </w:rPr>
        <w:t>CashETR</w:t>
      </w:r>
      <w:r w:rsidR="006D7D3B">
        <w:rPr>
          <w:rFonts w:ascii="Times New Roman" w:hAnsi="Times New Roman" w:cs="Times New Roman"/>
        </w:rPr>
        <w:t>c</w:t>
      </w:r>
      <w:proofErr w:type="spellEnd"/>
      <w:r>
        <w:rPr>
          <w:rFonts w:ascii="Times New Roman" w:hAnsi="Times New Roman" w:cs="Times New Roman"/>
        </w:rPr>
        <w:t xml:space="preserve"> foi </w:t>
      </w:r>
      <w:r w:rsidR="00F239C5">
        <w:rPr>
          <w:rFonts w:ascii="Times New Roman" w:hAnsi="Times New Roman" w:cs="Times New Roman"/>
        </w:rPr>
        <w:t xml:space="preserve">aferida pelo teste de </w:t>
      </w:r>
      <w:proofErr w:type="spellStart"/>
      <w:r>
        <w:rPr>
          <w:rFonts w:ascii="Times New Roman" w:hAnsi="Times New Roman" w:cs="Times New Roman"/>
        </w:rPr>
        <w:t>Ko</w:t>
      </w:r>
      <w:r w:rsidR="00A1021A">
        <w:rPr>
          <w:rFonts w:ascii="Times New Roman" w:hAnsi="Times New Roman" w:cs="Times New Roman"/>
        </w:rPr>
        <w:t>l</w:t>
      </w:r>
      <w:r>
        <w:rPr>
          <w:rFonts w:ascii="Times New Roman" w:hAnsi="Times New Roman" w:cs="Times New Roman"/>
        </w:rPr>
        <w:t>mogorov</w:t>
      </w:r>
      <w:proofErr w:type="spellEnd"/>
      <w:r>
        <w:rPr>
          <w:rFonts w:ascii="Times New Roman" w:hAnsi="Times New Roman" w:cs="Times New Roman"/>
        </w:rPr>
        <w:t xml:space="preserve">-Smirnov. </w:t>
      </w:r>
      <w:r w:rsidR="0096283B">
        <w:rPr>
          <w:rFonts w:ascii="Times New Roman" w:hAnsi="Times New Roman" w:cs="Times New Roman"/>
        </w:rPr>
        <w:t>F</w:t>
      </w:r>
      <w:r w:rsidR="000D538B">
        <w:rPr>
          <w:rFonts w:ascii="Times New Roman" w:hAnsi="Times New Roman" w:cs="Times New Roman"/>
        </w:rPr>
        <w:t>o</w:t>
      </w:r>
      <w:r>
        <w:rPr>
          <w:rFonts w:ascii="Times New Roman" w:hAnsi="Times New Roman" w:cs="Times New Roman"/>
        </w:rPr>
        <w:t>i</w:t>
      </w:r>
      <w:r w:rsidR="000D538B">
        <w:rPr>
          <w:rFonts w:ascii="Times New Roman" w:hAnsi="Times New Roman" w:cs="Times New Roman"/>
        </w:rPr>
        <w:t xml:space="preserve"> aplicado o teste não-paramétrico de </w:t>
      </w:r>
      <w:proofErr w:type="spellStart"/>
      <w:r w:rsidR="000D538B" w:rsidRPr="00A1021A">
        <w:rPr>
          <w:rFonts w:ascii="Times New Roman" w:hAnsi="Times New Roman" w:cs="Times New Roman"/>
        </w:rPr>
        <w:t>Wilcoxon</w:t>
      </w:r>
      <w:proofErr w:type="spellEnd"/>
      <w:r w:rsidR="000D538B">
        <w:rPr>
          <w:rFonts w:ascii="Times New Roman" w:hAnsi="Times New Roman" w:cs="Times New Roman"/>
        </w:rPr>
        <w:t xml:space="preserve"> </w:t>
      </w:r>
      <w:r w:rsidR="00CE3094">
        <w:rPr>
          <w:rFonts w:ascii="Times New Roman" w:hAnsi="Times New Roman" w:cs="Times New Roman"/>
        </w:rPr>
        <w:t>para</w:t>
      </w:r>
      <w:r w:rsidR="000D538B">
        <w:rPr>
          <w:rFonts w:ascii="Times New Roman" w:hAnsi="Times New Roman" w:cs="Times New Roman"/>
        </w:rPr>
        <w:t xml:space="preserve"> </w:t>
      </w:r>
      <w:r>
        <w:rPr>
          <w:rFonts w:ascii="Times New Roman" w:hAnsi="Times New Roman" w:cs="Times New Roman"/>
        </w:rPr>
        <w:t>analisar</w:t>
      </w:r>
      <w:r w:rsidR="000D538B">
        <w:rPr>
          <w:rFonts w:ascii="Times New Roman" w:hAnsi="Times New Roman" w:cs="Times New Roman"/>
        </w:rPr>
        <w:t xml:space="preserve"> se as companhias</w:t>
      </w:r>
      <w:r w:rsidR="006A4EFE">
        <w:rPr>
          <w:rFonts w:ascii="Times New Roman" w:hAnsi="Times New Roman" w:cs="Times New Roman"/>
        </w:rPr>
        <w:t xml:space="preserve"> </w:t>
      </w:r>
      <w:r w:rsidR="00A5697D">
        <w:rPr>
          <w:rFonts w:ascii="Times New Roman" w:hAnsi="Times New Roman" w:cs="Times New Roman"/>
        </w:rPr>
        <w:t>pertencentes aos</w:t>
      </w:r>
      <w:r w:rsidR="00923AEF">
        <w:rPr>
          <w:rFonts w:ascii="Times New Roman" w:hAnsi="Times New Roman" w:cs="Times New Roman"/>
        </w:rPr>
        <w:t xml:space="preserve"> </w:t>
      </w:r>
      <w:r w:rsidR="006A4EFE">
        <w:rPr>
          <w:rFonts w:ascii="Times New Roman" w:hAnsi="Times New Roman" w:cs="Times New Roman"/>
        </w:rPr>
        <w:t>setor</w:t>
      </w:r>
      <w:r w:rsidR="00A5697D">
        <w:rPr>
          <w:rFonts w:ascii="Times New Roman" w:hAnsi="Times New Roman" w:cs="Times New Roman"/>
        </w:rPr>
        <w:t>es</w:t>
      </w:r>
      <w:r w:rsidR="00F239C5">
        <w:rPr>
          <w:rFonts w:ascii="Times New Roman" w:hAnsi="Times New Roman" w:cs="Times New Roman"/>
        </w:rPr>
        <w:t xml:space="preserve"> </w:t>
      </w:r>
      <w:r w:rsidR="000D538B">
        <w:rPr>
          <w:rFonts w:ascii="Times New Roman" w:hAnsi="Times New Roman" w:cs="Times New Roman"/>
        </w:rPr>
        <w:t xml:space="preserve">apresentaram variação </w:t>
      </w:r>
      <w:r w:rsidR="00294D3B">
        <w:rPr>
          <w:rFonts w:ascii="Times New Roman" w:hAnsi="Times New Roman" w:cs="Times New Roman"/>
        </w:rPr>
        <w:t xml:space="preserve">estatisticamente significativa </w:t>
      </w:r>
      <w:r w:rsidR="000D538B">
        <w:rPr>
          <w:rFonts w:ascii="Times New Roman" w:hAnsi="Times New Roman" w:cs="Times New Roman"/>
        </w:rPr>
        <w:t xml:space="preserve">nas </w:t>
      </w:r>
      <w:proofErr w:type="spellStart"/>
      <w:r w:rsidR="00327E85">
        <w:rPr>
          <w:rFonts w:ascii="Times New Roman" w:hAnsi="Times New Roman" w:cs="Times New Roman"/>
        </w:rPr>
        <w:t>Cash</w:t>
      </w:r>
      <w:r w:rsidR="000D538B">
        <w:rPr>
          <w:rFonts w:ascii="Times New Roman" w:hAnsi="Times New Roman" w:cs="Times New Roman"/>
        </w:rPr>
        <w:t>ETR</w:t>
      </w:r>
      <w:r w:rsidR="006D7D3B">
        <w:rPr>
          <w:rFonts w:ascii="Times New Roman" w:hAnsi="Times New Roman" w:cs="Times New Roman"/>
        </w:rPr>
        <w:t>t</w:t>
      </w:r>
      <w:proofErr w:type="spellEnd"/>
      <w:r w:rsidR="00327E85">
        <w:rPr>
          <w:rFonts w:ascii="Times New Roman" w:hAnsi="Times New Roman" w:cs="Times New Roman"/>
        </w:rPr>
        <w:t xml:space="preserve"> e nas </w:t>
      </w:r>
      <w:proofErr w:type="spellStart"/>
      <w:r w:rsidR="00327E85">
        <w:rPr>
          <w:rFonts w:ascii="Times New Roman" w:hAnsi="Times New Roman" w:cs="Times New Roman"/>
        </w:rPr>
        <w:t>CashETR</w:t>
      </w:r>
      <w:r w:rsidR="006D7D3B">
        <w:rPr>
          <w:rFonts w:ascii="Times New Roman" w:hAnsi="Times New Roman" w:cs="Times New Roman"/>
        </w:rPr>
        <w:t>c</w:t>
      </w:r>
      <w:proofErr w:type="spellEnd"/>
      <w:r w:rsidR="000D538B">
        <w:rPr>
          <w:rFonts w:ascii="Times New Roman" w:hAnsi="Times New Roman" w:cs="Times New Roman"/>
        </w:rPr>
        <w:t xml:space="preserve"> </w:t>
      </w:r>
      <w:r w:rsidR="00F239C5">
        <w:rPr>
          <w:rFonts w:ascii="Times New Roman" w:hAnsi="Times New Roman" w:cs="Times New Roman"/>
        </w:rPr>
        <w:t>entre os quinquênios comparados</w:t>
      </w:r>
      <w:r w:rsidR="000D538B">
        <w:rPr>
          <w:rFonts w:ascii="Times New Roman" w:hAnsi="Times New Roman" w:cs="Times New Roman"/>
        </w:rPr>
        <w:t>.</w:t>
      </w:r>
      <w:r w:rsidR="004E7BBB">
        <w:rPr>
          <w:rFonts w:ascii="Times New Roman" w:hAnsi="Times New Roman" w:cs="Times New Roman"/>
        </w:rPr>
        <w:t xml:space="preserve"> </w:t>
      </w:r>
    </w:p>
    <w:p w14:paraId="5347A738" w14:textId="7D23D73B" w:rsidR="00124FB8" w:rsidRDefault="009E0910" w:rsidP="00F83A22">
      <w:pPr>
        <w:spacing w:after="120"/>
        <w:ind w:firstLine="709"/>
        <w:jc w:val="both"/>
        <w:rPr>
          <w:rFonts w:ascii="Times New Roman" w:hAnsi="Times New Roman" w:cs="Times New Roman"/>
        </w:rPr>
      </w:pPr>
      <w:r>
        <w:rPr>
          <w:rFonts w:ascii="Times New Roman" w:hAnsi="Times New Roman" w:cs="Times New Roman"/>
        </w:rPr>
        <w:t xml:space="preserve">Segundo Martins </w:t>
      </w:r>
      <w:r w:rsidR="00923AEF">
        <w:rPr>
          <w:rFonts w:ascii="Times New Roman" w:hAnsi="Times New Roman" w:cs="Times New Roman"/>
        </w:rPr>
        <w:t xml:space="preserve">e Domingues </w:t>
      </w:r>
      <w:r>
        <w:rPr>
          <w:rFonts w:ascii="Times New Roman" w:hAnsi="Times New Roman" w:cs="Times New Roman"/>
        </w:rPr>
        <w:t>(20</w:t>
      </w:r>
      <w:r w:rsidR="00923AEF">
        <w:rPr>
          <w:rFonts w:ascii="Times New Roman" w:hAnsi="Times New Roman" w:cs="Times New Roman"/>
        </w:rPr>
        <w:t>17</w:t>
      </w:r>
      <w:r>
        <w:rPr>
          <w:rFonts w:ascii="Times New Roman" w:hAnsi="Times New Roman" w:cs="Times New Roman"/>
        </w:rPr>
        <w:t xml:space="preserve">) o teste de </w:t>
      </w:r>
      <w:proofErr w:type="spellStart"/>
      <w:r w:rsidRPr="00A1021A">
        <w:rPr>
          <w:rFonts w:ascii="Times New Roman" w:hAnsi="Times New Roman" w:cs="Times New Roman"/>
        </w:rPr>
        <w:t>Wilcoxon</w:t>
      </w:r>
      <w:proofErr w:type="spellEnd"/>
      <w:r>
        <w:rPr>
          <w:rFonts w:ascii="Times New Roman" w:hAnsi="Times New Roman" w:cs="Times New Roman"/>
        </w:rPr>
        <w:t xml:space="preserve"> </w:t>
      </w:r>
      <w:r w:rsidR="00923AEF">
        <w:rPr>
          <w:rFonts w:ascii="Times New Roman" w:hAnsi="Times New Roman" w:cs="Times New Roman"/>
        </w:rPr>
        <w:t xml:space="preserve">possui a </w:t>
      </w:r>
      <w:r>
        <w:rPr>
          <w:rFonts w:ascii="Times New Roman" w:hAnsi="Times New Roman" w:cs="Times New Roman"/>
        </w:rPr>
        <w:t xml:space="preserve">mesma natureza </w:t>
      </w:r>
      <w:r w:rsidR="00923AEF">
        <w:rPr>
          <w:rFonts w:ascii="Times New Roman" w:hAnsi="Times New Roman" w:cs="Times New Roman"/>
        </w:rPr>
        <w:t>d</w:t>
      </w:r>
      <w:r>
        <w:rPr>
          <w:rFonts w:ascii="Times New Roman" w:hAnsi="Times New Roman" w:cs="Times New Roman"/>
        </w:rPr>
        <w:t>o teste dos Sinais, que analisa dados emparelhados, sendo o mesmo indivíduo</w:t>
      </w:r>
      <w:r w:rsidR="00923AEF">
        <w:rPr>
          <w:rFonts w:ascii="Times New Roman" w:hAnsi="Times New Roman" w:cs="Times New Roman"/>
        </w:rPr>
        <w:t xml:space="preserve"> </w:t>
      </w:r>
      <w:r>
        <w:rPr>
          <w:rFonts w:ascii="Times New Roman" w:hAnsi="Times New Roman" w:cs="Times New Roman"/>
        </w:rPr>
        <w:t xml:space="preserve">submetido a duas </w:t>
      </w:r>
      <w:r w:rsidRPr="00BB56D7">
        <w:rPr>
          <w:rFonts w:ascii="Times New Roman" w:hAnsi="Times New Roman" w:cs="Times New Roman"/>
        </w:rPr>
        <w:t xml:space="preserve">medidas, antes e depois. Porém, </w:t>
      </w:r>
      <w:r w:rsidR="0075699D" w:rsidRPr="00BB56D7">
        <w:rPr>
          <w:rFonts w:ascii="Times New Roman" w:hAnsi="Times New Roman" w:cs="Times New Roman"/>
        </w:rPr>
        <w:t xml:space="preserve">os autores esclarecem que </w:t>
      </w:r>
      <w:r w:rsidRPr="00BB56D7">
        <w:rPr>
          <w:rFonts w:ascii="Times New Roman" w:hAnsi="Times New Roman" w:cs="Times New Roman"/>
        </w:rPr>
        <w:t>aquele teste se distingue</w:t>
      </w:r>
      <w:r>
        <w:rPr>
          <w:rFonts w:ascii="Times New Roman" w:hAnsi="Times New Roman" w:cs="Times New Roman"/>
        </w:rPr>
        <w:t xml:space="preserve"> metodologicamente </w:t>
      </w:r>
      <w:r w:rsidR="00923AEF">
        <w:rPr>
          <w:rFonts w:ascii="Times New Roman" w:hAnsi="Times New Roman" w:cs="Times New Roman"/>
        </w:rPr>
        <w:t xml:space="preserve">porquanto </w:t>
      </w:r>
      <w:r>
        <w:rPr>
          <w:rFonts w:ascii="Times New Roman" w:hAnsi="Times New Roman" w:cs="Times New Roman"/>
        </w:rPr>
        <w:t xml:space="preserve">leva em consideração a magnitude da diferença verificada em cada par de variáveis. </w:t>
      </w:r>
      <w:r w:rsidR="00374E7D">
        <w:rPr>
          <w:rFonts w:ascii="Times New Roman" w:hAnsi="Times New Roman" w:cs="Times New Roman"/>
        </w:rPr>
        <w:t>A hipótese nula assume que a mediana das diferenças das variáveis emparelhadas na população é igual a zero (FÁVERO</w:t>
      </w:r>
      <w:r w:rsidR="00952014">
        <w:rPr>
          <w:rFonts w:ascii="Times New Roman" w:hAnsi="Times New Roman" w:cs="Times New Roman"/>
        </w:rPr>
        <w:t>; BELFIORE</w:t>
      </w:r>
      <w:r w:rsidR="00374E7D">
        <w:rPr>
          <w:rFonts w:ascii="Times New Roman" w:hAnsi="Times New Roman" w:cs="Times New Roman"/>
        </w:rPr>
        <w:t xml:space="preserve">, 2020). </w:t>
      </w:r>
      <w:r w:rsidR="00E73F24">
        <w:rPr>
          <w:rFonts w:ascii="Times New Roman" w:hAnsi="Times New Roman" w:cs="Times New Roman"/>
        </w:rPr>
        <w:t>Foi utilizado o software SPSS – IBM para a realização dos mencionados testes estatísticos.</w:t>
      </w:r>
    </w:p>
    <w:p w14:paraId="44E329EB" w14:textId="47A87049" w:rsidR="00757A61" w:rsidRPr="005057A6" w:rsidRDefault="0075699D" w:rsidP="00F83A22">
      <w:pPr>
        <w:spacing w:after="120"/>
        <w:ind w:firstLine="709"/>
        <w:jc w:val="both"/>
        <w:rPr>
          <w:rFonts w:ascii="Times New Roman" w:hAnsi="Times New Roman" w:cs="Times New Roman"/>
        </w:rPr>
      </w:pPr>
      <w:r w:rsidRPr="005057A6">
        <w:rPr>
          <w:rFonts w:ascii="Times New Roman" w:hAnsi="Times New Roman" w:cs="Times New Roman"/>
        </w:rPr>
        <w:t>Uma vez aplicado o</w:t>
      </w:r>
      <w:r w:rsidR="009E0910" w:rsidRPr="005057A6">
        <w:rPr>
          <w:rFonts w:ascii="Times New Roman" w:hAnsi="Times New Roman" w:cs="Times New Roman"/>
        </w:rPr>
        <w:t xml:space="preserve"> teste de </w:t>
      </w:r>
      <w:proofErr w:type="spellStart"/>
      <w:r w:rsidR="009E0910" w:rsidRPr="00A1021A">
        <w:rPr>
          <w:rFonts w:ascii="Times New Roman" w:hAnsi="Times New Roman" w:cs="Times New Roman"/>
        </w:rPr>
        <w:t>Wilcoxon</w:t>
      </w:r>
      <w:proofErr w:type="spellEnd"/>
      <w:r w:rsidR="0096283B" w:rsidRPr="005057A6">
        <w:rPr>
          <w:rFonts w:ascii="Times New Roman" w:hAnsi="Times New Roman" w:cs="Times New Roman"/>
        </w:rPr>
        <w:t>, a hipótese nula H1</w:t>
      </w:r>
      <w:r w:rsidR="0096283B" w:rsidRPr="005057A6">
        <w:rPr>
          <w:rFonts w:ascii="Times New Roman" w:hAnsi="Times New Roman" w:cs="Times New Roman"/>
          <w:kern w:val="24"/>
          <w:vertAlign w:val="subscript"/>
        </w:rPr>
        <w:t>0</w:t>
      </w:r>
      <w:r w:rsidR="0096283B" w:rsidRPr="005057A6">
        <w:rPr>
          <w:rFonts w:ascii="Times New Roman" w:hAnsi="Times New Roman" w:cs="Times New Roman"/>
        </w:rPr>
        <w:t xml:space="preserve"> </w:t>
      </w:r>
      <w:r w:rsidR="00327E85" w:rsidRPr="005057A6">
        <w:rPr>
          <w:rFonts w:ascii="Times New Roman" w:hAnsi="Times New Roman" w:cs="Times New Roman"/>
        </w:rPr>
        <w:t>fo</w:t>
      </w:r>
      <w:r w:rsidR="001D1EC7" w:rsidRPr="005057A6">
        <w:rPr>
          <w:rFonts w:ascii="Times New Roman" w:hAnsi="Times New Roman" w:cs="Times New Roman"/>
        </w:rPr>
        <w:t>i</w:t>
      </w:r>
      <w:r w:rsidR="00E2519E" w:rsidRPr="005057A6">
        <w:rPr>
          <w:rFonts w:ascii="Times New Roman" w:hAnsi="Times New Roman" w:cs="Times New Roman"/>
        </w:rPr>
        <w:t xml:space="preserve"> </w:t>
      </w:r>
      <w:r w:rsidR="003D2405">
        <w:rPr>
          <w:rFonts w:ascii="Times New Roman" w:hAnsi="Times New Roman" w:cs="Times New Roman"/>
        </w:rPr>
        <w:t>aceita</w:t>
      </w:r>
      <w:r w:rsidR="00E73F24" w:rsidRPr="005057A6">
        <w:rPr>
          <w:rFonts w:ascii="Times New Roman" w:hAnsi="Times New Roman" w:cs="Times New Roman"/>
        </w:rPr>
        <w:t xml:space="preserve"> </w:t>
      </w:r>
      <w:r w:rsidR="00327E85" w:rsidRPr="005057A6">
        <w:rPr>
          <w:rFonts w:ascii="Times New Roman" w:hAnsi="Times New Roman" w:cs="Times New Roman"/>
        </w:rPr>
        <w:t>para os</w:t>
      </w:r>
      <w:r w:rsidR="00947EBE" w:rsidRPr="005057A6">
        <w:rPr>
          <w:rFonts w:ascii="Times New Roman" w:hAnsi="Times New Roman" w:cs="Times New Roman"/>
        </w:rPr>
        <w:t xml:space="preserve"> </w:t>
      </w:r>
      <w:r w:rsidR="009E0910" w:rsidRPr="005057A6">
        <w:rPr>
          <w:rFonts w:ascii="Times New Roman" w:hAnsi="Times New Roman" w:cs="Times New Roman"/>
        </w:rPr>
        <w:t>setores</w:t>
      </w:r>
      <w:r w:rsidR="001D1EC7" w:rsidRPr="005057A6">
        <w:rPr>
          <w:rFonts w:ascii="Times New Roman" w:hAnsi="Times New Roman" w:cs="Times New Roman"/>
        </w:rPr>
        <w:t xml:space="preserve"> econômicos</w:t>
      </w:r>
      <w:r w:rsidR="009E0910" w:rsidRPr="005057A6">
        <w:rPr>
          <w:rFonts w:ascii="Times New Roman" w:hAnsi="Times New Roman" w:cs="Times New Roman"/>
        </w:rPr>
        <w:t xml:space="preserve"> </w:t>
      </w:r>
      <w:r w:rsidR="00923AEF" w:rsidRPr="005057A6">
        <w:rPr>
          <w:rFonts w:ascii="Times New Roman" w:hAnsi="Times New Roman" w:cs="Times New Roman"/>
        </w:rPr>
        <w:t>que</w:t>
      </w:r>
      <w:r w:rsidR="00947EBE" w:rsidRPr="005057A6">
        <w:rPr>
          <w:rFonts w:ascii="Times New Roman" w:hAnsi="Times New Roman" w:cs="Times New Roman"/>
        </w:rPr>
        <w:t xml:space="preserve"> </w:t>
      </w:r>
      <w:r w:rsidR="00327E85" w:rsidRPr="005057A6">
        <w:rPr>
          <w:rFonts w:ascii="Times New Roman" w:hAnsi="Times New Roman" w:cs="Times New Roman"/>
        </w:rPr>
        <w:t>apresenta</w:t>
      </w:r>
      <w:r w:rsidR="001D1EC7" w:rsidRPr="005057A6">
        <w:rPr>
          <w:rFonts w:ascii="Times New Roman" w:hAnsi="Times New Roman" w:cs="Times New Roman"/>
        </w:rPr>
        <w:t>ram</w:t>
      </w:r>
      <w:r w:rsidR="00327E85" w:rsidRPr="005057A6">
        <w:rPr>
          <w:rFonts w:ascii="Times New Roman" w:hAnsi="Times New Roman" w:cs="Times New Roman"/>
        </w:rPr>
        <w:t xml:space="preserve"> </w:t>
      </w:r>
      <w:r w:rsidR="00757A61" w:rsidRPr="005057A6">
        <w:rPr>
          <w:rFonts w:ascii="Times New Roman" w:hAnsi="Times New Roman" w:cs="Times New Roman"/>
          <w:i/>
          <w:iCs/>
        </w:rPr>
        <w:t>p-</w:t>
      </w:r>
      <w:proofErr w:type="spellStart"/>
      <w:r w:rsidR="00757A61" w:rsidRPr="005057A6">
        <w:rPr>
          <w:rFonts w:ascii="Times New Roman" w:hAnsi="Times New Roman" w:cs="Times New Roman"/>
          <w:i/>
          <w:iCs/>
        </w:rPr>
        <w:t>value</w:t>
      </w:r>
      <w:proofErr w:type="spellEnd"/>
      <w:r w:rsidR="00757A61" w:rsidRPr="005057A6">
        <w:rPr>
          <w:rFonts w:ascii="Times New Roman" w:hAnsi="Times New Roman" w:cs="Times New Roman"/>
        </w:rPr>
        <w:t xml:space="preserve"> </w:t>
      </w:r>
      <w:r w:rsidR="003D2405" w:rsidRPr="005057A6">
        <w:rPr>
          <w:rFonts w:ascii="Times New Roman" w:hAnsi="Times New Roman" w:cs="Times New Roman"/>
        </w:rPr>
        <w:t>superior</w:t>
      </w:r>
      <w:r w:rsidR="00E2519E" w:rsidRPr="005057A6">
        <w:rPr>
          <w:rFonts w:ascii="Times New Roman" w:hAnsi="Times New Roman" w:cs="Times New Roman"/>
        </w:rPr>
        <w:t xml:space="preserve"> a </w:t>
      </w:r>
      <w:r w:rsidR="00757A61" w:rsidRPr="005057A6">
        <w:rPr>
          <w:rFonts w:ascii="Times New Roman" w:hAnsi="Times New Roman" w:cs="Times New Roman"/>
        </w:rPr>
        <w:t>0,05</w:t>
      </w:r>
      <w:r w:rsidR="00327E85" w:rsidRPr="005057A6">
        <w:rPr>
          <w:rFonts w:ascii="Times New Roman" w:hAnsi="Times New Roman" w:cs="Times New Roman"/>
        </w:rPr>
        <w:t xml:space="preserve"> para as </w:t>
      </w:r>
      <w:proofErr w:type="spellStart"/>
      <w:r w:rsidR="00327E85" w:rsidRPr="005057A6">
        <w:rPr>
          <w:rFonts w:ascii="Times New Roman" w:hAnsi="Times New Roman" w:cs="Times New Roman"/>
        </w:rPr>
        <w:t>CashETRt</w:t>
      </w:r>
      <w:proofErr w:type="spellEnd"/>
      <w:r w:rsidR="00327E85" w:rsidRPr="005057A6">
        <w:rPr>
          <w:rFonts w:ascii="Times New Roman" w:hAnsi="Times New Roman" w:cs="Times New Roman"/>
        </w:rPr>
        <w:t xml:space="preserve"> emparelhadas de suas companhias</w:t>
      </w:r>
      <w:r w:rsidR="008E4E31" w:rsidRPr="005057A6">
        <w:rPr>
          <w:rFonts w:ascii="Times New Roman" w:hAnsi="Times New Roman" w:cs="Times New Roman"/>
        </w:rPr>
        <w:t xml:space="preserve">, </w:t>
      </w:r>
      <w:r w:rsidR="001D1EC7" w:rsidRPr="005057A6">
        <w:rPr>
          <w:rFonts w:ascii="Times New Roman" w:hAnsi="Times New Roman" w:cs="Times New Roman"/>
        </w:rPr>
        <w:t>concluindo-se pela</w:t>
      </w:r>
      <w:r w:rsidR="00E73F24" w:rsidRPr="005057A6">
        <w:rPr>
          <w:rFonts w:ascii="Times New Roman" w:hAnsi="Times New Roman" w:cs="Times New Roman"/>
        </w:rPr>
        <w:t xml:space="preserve"> </w:t>
      </w:r>
      <w:r w:rsidR="003D2405">
        <w:rPr>
          <w:rFonts w:ascii="Times New Roman" w:hAnsi="Times New Roman" w:cs="Times New Roman"/>
        </w:rPr>
        <w:t>in</w:t>
      </w:r>
      <w:r w:rsidR="008E4E31" w:rsidRPr="005057A6">
        <w:rPr>
          <w:rFonts w:ascii="Times New Roman" w:hAnsi="Times New Roman" w:cs="Times New Roman"/>
        </w:rPr>
        <w:t>existência de</w:t>
      </w:r>
      <w:r w:rsidR="00757A61" w:rsidRPr="005057A6">
        <w:rPr>
          <w:rFonts w:ascii="Times New Roman" w:hAnsi="Times New Roman" w:cs="Times New Roman"/>
        </w:rPr>
        <w:t xml:space="preserve"> diferença estatisticamente significativa entre as </w:t>
      </w:r>
      <w:r w:rsidR="00327E85" w:rsidRPr="005057A6">
        <w:rPr>
          <w:rFonts w:ascii="Times New Roman" w:hAnsi="Times New Roman" w:cs="Times New Roman"/>
        </w:rPr>
        <w:t xml:space="preserve">cargas tributárias </w:t>
      </w:r>
      <w:r w:rsidR="001D1EC7" w:rsidRPr="005057A6">
        <w:rPr>
          <w:rFonts w:ascii="Times New Roman" w:hAnsi="Times New Roman" w:cs="Times New Roman"/>
        </w:rPr>
        <w:t>totais</w:t>
      </w:r>
      <w:r w:rsidR="00D02322">
        <w:rPr>
          <w:rFonts w:ascii="Times New Roman" w:hAnsi="Times New Roman" w:cs="Times New Roman"/>
        </w:rPr>
        <w:t xml:space="preserve"> incidentes sobre o </w:t>
      </w:r>
      <w:r w:rsidR="00A1021A">
        <w:rPr>
          <w:rFonts w:ascii="Times New Roman" w:hAnsi="Times New Roman" w:cs="Times New Roman"/>
        </w:rPr>
        <w:t>LAIR</w:t>
      </w:r>
      <w:r w:rsidR="00D02322">
        <w:rPr>
          <w:rFonts w:ascii="Times New Roman" w:hAnsi="Times New Roman" w:cs="Times New Roman"/>
        </w:rPr>
        <w:t>,</w:t>
      </w:r>
      <w:r w:rsidR="001D1EC7" w:rsidRPr="005057A6">
        <w:rPr>
          <w:rFonts w:ascii="Times New Roman" w:hAnsi="Times New Roman" w:cs="Times New Roman"/>
        </w:rPr>
        <w:t xml:space="preserve"> </w:t>
      </w:r>
      <w:r w:rsidR="00327E85" w:rsidRPr="005057A6">
        <w:rPr>
          <w:rFonts w:ascii="Times New Roman" w:hAnsi="Times New Roman" w:cs="Times New Roman"/>
        </w:rPr>
        <w:t xml:space="preserve">mensuradas </w:t>
      </w:r>
      <w:r w:rsidR="00923AEF" w:rsidRPr="005057A6">
        <w:rPr>
          <w:rFonts w:ascii="Times New Roman" w:hAnsi="Times New Roman" w:cs="Times New Roman"/>
        </w:rPr>
        <w:t>n</w:t>
      </w:r>
      <w:r w:rsidR="00327E85" w:rsidRPr="005057A6">
        <w:rPr>
          <w:rFonts w:ascii="Times New Roman" w:hAnsi="Times New Roman" w:cs="Times New Roman"/>
        </w:rPr>
        <w:t>os quinquênios comparados</w:t>
      </w:r>
      <w:r w:rsidR="00757A61" w:rsidRPr="005057A6">
        <w:rPr>
          <w:rFonts w:ascii="Times New Roman" w:hAnsi="Times New Roman" w:cs="Times New Roman"/>
        </w:rPr>
        <w:t>.</w:t>
      </w:r>
    </w:p>
    <w:p w14:paraId="186DEC0A" w14:textId="71D1BA09" w:rsidR="001D1EC7" w:rsidRPr="003D2405" w:rsidRDefault="001D1EC7" w:rsidP="00F83A22">
      <w:pPr>
        <w:spacing w:after="120"/>
        <w:ind w:firstLine="709"/>
        <w:jc w:val="both"/>
        <w:rPr>
          <w:rFonts w:ascii="Times New Roman" w:hAnsi="Times New Roman" w:cs="Times New Roman"/>
        </w:rPr>
      </w:pPr>
      <w:r w:rsidRPr="005057A6">
        <w:rPr>
          <w:rFonts w:ascii="Times New Roman" w:hAnsi="Times New Roman" w:cs="Times New Roman"/>
        </w:rPr>
        <w:lastRenderedPageBreak/>
        <w:t>Por seu turno, a hipótese nula H2</w:t>
      </w:r>
      <w:r w:rsidRPr="005057A6">
        <w:rPr>
          <w:rFonts w:ascii="Times New Roman" w:hAnsi="Times New Roman" w:cs="Times New Roman"/>
          <w:kern w:val="24"/>
          <w:vertAlign w:val="subscript"/>
        </w:rPr>
        <w:t>0</w:t>
      </w:r>
      <w:r w:rsidRPr="005057A6">
        <w:rPr>
          <w:rFonts w:ascii="Times New Roman" w:hAnsi="Times New Roman" w:cs="Times New Roman"/>
        </w:rPr>
        <w:t xml:space="preserve"> foi </w:t>
      </w:r>
      <w:r w:rsidR="003D2405">
        <w:rPr>
          <w:rFonts w:ascii="Times New Roman" w:hAnsi="Times New Roman" w:cs="Times New Roman"/>
        </w:rPr>
        <w:t>retida</w:t>
      </w:r>
      <w:r w:rsidRPr="005057A6">
        <w:rPr>
          <w:rFonts w:ascii="Times New Roman" w:hAnsi="Times New Roman" w:cs="Times New Roman"/>
        </w:rPr>
        <w:t xml:space="preserve"> </w:t>
      </w:r>
      <w:r w:rsidR="00D02322">
        <w:rPr>
          <w:rFonts w:ascii="Times New Roman" w:hAnsi="Times New Roman" w:cs="Times New Roman"/>
        </w:rPr>
        <w:t>no caso do</w:t>
      </w:r>
      <w:r w:rsidRPr="005057A6">
        <w:rPr>
          <w:rFonts w:ascii="Times New Roman" w:hAnsi="Times New Roman" w:cs="Times New Roman"/>
        </w:rPr>
        <w:t xml:space="preserve">s setores econômicos que apresentaram </w:t>
      </w:r>
      <w:r w:rsidRPr="005057A6">
        <w:rPr>
          <w:rFonts w:ascii="Times New Roman" w:hAnsi="Times New Roman" w:cs="Times New Roman"/>
          <w:i/>
          <w:iCs/>
        </w:rPr>
        <w:t>p-</w:t>
      </w:r>
      <w:proofErr w:type="spellStart"/>
      <w:r w:rsidRPr="005057A6">
        <w:rPr>
          <w:rFonts w:ascii="Times New Roman" w:hAnsi="Times New Roman" w:cs="Times New Roman"/>
          <w:i/>
          <w:iCs/>
        </w:rPr>
        <w:t>value</w:t>
      </w:r>
      <w:proofErr w:type="spellEnd"/>
      <w:r w:rsidRPr="005057A6">
        <w:rPr>
          <w:rFonts w:ascii="Times New Roman" w:hAnsi="Times New Roman" w:cs="Times New Roman"/>
        </w:rPr>
        <w:t xml:space="preserve"> </w:t>
      </w:r>
      <w:r w:rsidR="00D02322">
        <w:rPr>
          <w:rFonts w:ascii="Times New Roman" w:hAnsi="Times New Roman" w:cs="Times New Roman"/>
        </w:rPr>
        <w:t>maior que</w:t>
      </w:r>
      <w:r w:rsidRPr="005057A6">
        <w:rPr>
          <w:rFonts w:ascii="Times New Roman" w:hAnsi="Times New Roman" w:cs="Times New Roman"/>
        </w:rPr>
        <w:t xml:space="preserve"> 0,05 para as </w:t>
      </w:r>
      <w:proofErr w:type="spellStart"/>
      <w:r w:rsidR="00D96CE0" w:rsidRPr="005057A6">
        <w:rPr>
          <w:rFonts w:ascii="Times New Roman" w:hAnsi="Times New Roman" w:cs="Times New Roman"/>
        </w:rPr>
        <w:t>CashETR</w:t>
      </w:r>
      <w:r w:rsidR="003D2405">
        <w:rPr>
          <w:rFonts w:ascii="Times New Roman" w:hAnsi="Times New Roman" w:cs="Times New Roman"/>
        </w:rPr>
        <w:t>c</w:t>
      </w:r>
      <w:proofErr w:type="spellEnd"/>
      <w:r w:rsidR="00D96CE0" w:rsidRPr="005057A6" w:rsidDel="00D96CE0">
        <w:rPr>
          <w:rFonts w:ascii="Times New Roman" w:hAnsi="Times New Roman" w:cs="Times New Roman"/>
        </w:rPr>
        <w:t xml:space="preserve"> </w:t>
      </w:r>
      <w:r w:rsidRPr="005057A6">
        <w:rPr>
          <w:rFonts w:ascii="Times New Roman" w:hAnsi="Times New Roman" w:cs="Times New Roman"/>
        </w:rPr>
        <w:t xml:space="preserve">emparelhadas, de modo a se concluir que </w:t>
      </w:r>
      <w:r w:rsidR="003D2405">
        <w:rPr>
          <w:rFonts w:ascii="Times New Roman" w:hAnsi="Times New Roman" w:cs="Times New Roman"/>
        </w:rPr>
        <w:t xml:space="preserve">não </w:t>
      </w:r>
      <w:r w:rsidRPr="005057A6">
        <w:rPr>
          <w:rFonts w:ascii="Times New Roman" w:hAnsi="Times New Roman" w:cs="Times New Roman"/>
        </w:rPr>
        <w:t>houve</w:t>
      </w:r>
      <w:r w:rsidR="003D2405">
        <w:rPr>
          <w:rFonts w:ascii="Times New Roman" w:hAnsi="Times New Roman" w:cs="Times New Roman"/>
        </w:rPr>
        <w:t xml:space="preserve"> </w:t>
      </w:r>
      <w:r w:rsidRPr="005057A6">
        <w:rPr>
          <w:rFonts w:ascii="Times New Roman" w:hAnsi="Times New Roman" w:cs="Times New Roman"/>
        </w:rPr>
        <w:t xml:space="preserve">diferença estatisticamente significativa </w:t>
      </w:r>
      <w:r w:rsidR="00300AD5" w:rsidRPr="005057A6">
        <w:rPr>
          <w:rFonts w:ascii="Times New Roman" w:hAnsi="Times New Roman" w:cs="Times New Roman"/>
        </w:rPr>
        <w:t>n</w:t>
      </w:r>
      <w:r w:rsidR="00D02322">
        <w:rPr>
          <w:rFonts w:ascii="Times New Roman" w:hAnsi="Times New Roman" w:cs="Times New Roman"/>
        </w:rPr>
        <w:t>o nível de</w:t>
      </w:r>
      <w:r w:rsidR="00300AD5" w:rsidRPr="005057A6">
        <w:rPr>
          <w:rFonts w:ascii="Times New Roman" w:hAnsi="Times New Roman" w:cs="Times New Roman"/>
        </w:rPr>
        <w:t xml:space="preserve"> tributação</w:t>
      </w:r>
      <w:r w:rsidRPr="005057A6">
        <w:rPr>
          <w:rFonts w:ascii="Times New Roman" w:hAnsi="Times New Roman" w:cs="Times New Roman"/>
        </w:rPr>
        <w:t xml:space="preserve"> </w:t>
      </w:r>
      <w:r w:rsidR="00300AD5" w:rsidRPr="005057A6">
        <w:rPr>
          <w:rFonts w:ascii="Times New Roman" w:hAnsi="Times New Roman" w:cs="Times New Roman"/>
        </w:rPr>
        <w:t>corrente</w:t>
      </w:r>
      <w:r w:rsidR="00D02322">
        <w:rPr>
          <w:rFonts w:ascii="Times New Roman" w:hAnsi="Times New Roman" w:cs="Times New Roman"/>
        </w:rPr>
        <w:t xml:space="preserve"> do lucro quantificado nos</w:t>
      </w:r>
      <w:r w:rsidRPr="005057A6">
        <w:rPr>
          <w:rFonts w:ascii="Times New Roman" w:hAnsi="Times New Roman" w:cs="Times New Roman"/>
        </w:rPr>
        <w:t xml:space="preserve"> quinquênios</w:t>
      </w:r>
      <w:r w:rsidR="00EC72B2">
        <w:rPr>
          <w:rFonts w:ascii="Times New Roman" w:hAnsi="Times New Roman" w:cs="Times New Roman"/>
        </w:rPr>
        <w:t xml:space="preserve"> abrangidos pela pesquisa</w:t>
      </w:r>
      <w:r w:rsidRPr="005057A6">
        <w:rPr>
          <w:rFonts w:ascii="Times New Roman" w:hAnsi="Times New Roman" w:cs="Times New Roman"/>
        </w:rPr>
        <w:t>.</w:t>
      </w:r>
      <w:r w:rsidR="00300AD5" w:rsidRPr="003D2405">
        <w:rPr>
          <w:rFonts w:ascii="Times New Roman" w:hAnsi="Times New Roman" w:cs="Times New Roman"/>
        </w:rPr>
        <w:t xml:space="preserve"> </w:t>
      </w:r>
    </w:p>
    <w:p w14:paraId="59CBEBF2" w14:textId="7DA12C00" w:rsidR="00E2519E" w:rsidRPr="005057A6" w:rsidRDefault="005B214A" w:rsidP="00F83A22">
      <w:pPr>
        <w:spacing w:after="120"/>
        <w:ind w:firstLine="709"/>
        <w:jc w:val="both"/>
        <w:rPr>
          <w:rFonts w:ascii="Times New Roman" w:hAnsi="Times New Roman" w:cs="Times New Roman"/>
        </w:rPr>
      </w:pPr>
      <w:r>
        <w:rPr>
          <w:rFonts w:ascii="Times New Roman" w:hAnsi="Times New Roman" w:cs="Times New Roman"/>
        </w:rPr>
        <w:t>Destarte, a</w:t>
      </w:r>
      <w:r w:rsidR="00E2519E" w:rsidRPr="005057A6">
        <w:rPr>
          <w:rFonts w:ascii="Times New Roman" w:hAnsi="Times New Roman" w:cs="Times New Roman"/>
        </w:rPr>
        <w:t xml:space="preserve"> </w:t>
      </w:r>
      <w:r w:rsidR="003D2405">
        <w:rPr>
          <w:rFonts w:ascii="Times New Roman" w:hAnsi="Times New Roman" w:cs="Times New Roman"/>
        </w:rPr>
        <w:t>aceitação</w:t>
      </w:r>
      <w:r w:rsidR="00E2519E" w:rsidRPr="005057A6">
        <w:rPr>
          <w:rFonts w:ascii="Times New Roman" w:hAnsi="Times New Roman" w:cs="Times New Roman"/>
        </w:rPr>
        <w:t xml:space="preserve"> das hipóteses nulas H1</w:t>
      </w:r>
      <w:r w:rsidR="00E2519E" w:rsidRPr="005057A6">
        <w:rPr>
          <w:rFonts w:ascii="Times New Roman" w:hAnsi="Times New Roman" w:cs="Times New Roman"/>
          <w:kern w:val="24"/>
          <w:vertAlign w:val="subscript"/>
        </w:rPr>
        <w:t>0</w:t>
      </w:r>
      <w:r w:rsidR="00E2519E" w:rsidRPr="005057A6">
        <w:rPr>
          <w:rFonts w:ascii="Times New Roman" w:hAnsi="Times New Roman" w:cs="Times New Roman"/>
        </w:rPr>
        <w:t xml:space="preserve"> e H2</w:t>
      </w:r>
      <w:r w:rsidR="00E2519E" w:rsidRPr="005057A6">
        <w:rPr>
          <w:rFonts w:ascii="Times New Roman" w:hAnsi="Times New Roman" w:cs="Times New Roman"/>
          <w:kern w:val="24"/>
          <w:vertAlign w:val="subscript"/>
        </w:rPr>
        <w:t>0</w:t>
      </w:r>
      <w:r w:rsidR="00E2519E" w:rsidRPr="005057A6">
        <w:rPr>
          <w:rFonts w:ascii="Times New Roman" w:hAnsi="Times New Roman" w:cs="Times New Roman"/>
          <w:kern w:val="24"/>
        </w:rPr>
        <w:t xml:space="preserve"> implic</w:t>
      </w:r>
      <w:r w:rsidR="00327E85" w:rsidRPr="005057A6">
        <w:rPr>
          <w:rFonts w:ascii="Times New Roman" w:hAnsi="Times New Roman" w:cs="Times New Roman"/>
          <w:kern w:val="24"/>
        </w:rPr>
        <w:t>ou</w:t>
      </w:r>
      <w:r w:rsidR="00E2519E" w:rsidRPr="005057A6">
        <w:rPr>
          <w:rFonts w:ascii="Times New Roman" w:hAnsi="Times New Roman" w:cs="Times New Roman"/>
          <w:kern w:val="24"/>
        </w:rPr>
        <w:t xml:space="preserve"> a conclusão de que </w:t>
      </w:r>
      <w:r>
        <w:rPr>
          <w:rFonts w:ascii="Times New Roman" w:hAnsi="Times New Roman" w:cs="Times New Roman"/>
          <w:kern w:val="24"/>
        </w:rPr>
        <w:t xml:space="preserve">o tratamento </w:t>
      </w:r>
      <w:r w:rsidR="00EC72B2">
        <w:rPr>
          <w:rFonts w:ascii="Times New Roman" w:hAnsi="Times New Roman" w:cs="Times New Roman"/>
          <w:kern w:val="24"/>
        </w:rPr>
        <w:t>fiscal</w:t>
      </w:r>
      <w:r>
        <w:rPr>
          <w:rFonts w:ascii="Times New Roman" w:hAnsi="Times New Roman" w:cs="Times New Roman"/>
          <w:kern w:val="24"/>
        </w:rPr>
        <w:t xml:space="preserve"> instituído pela</w:t>
      </w:r>
      <w:r w:rsidR="00E2519E" w:rsidRPr="005057A6">
        <w:rPr>
          <w:rFonts w:ascii="Times New Roman" w:hAnsi="Times New Roman" w:cs="Times New Roman"/>
          <w:kern w:val="24"/>
        </w:rPr>
        <w:t xml:space="preserve"> Lei nº 12.973</w:t>
      </w:r>
      <w:r w:rsidR="009B6610" w:rsidRPr="005057A6">
        <w:rPr>
          <w:rFonts w:ascii="Times New Roman" w:hAnsi="Times New Roman" w:cs="Times New Roman"/>
          <w:kern w:val="24"/>
        </w:rPr>
        <w:t>/</w:t>
      </w:r>
      <w:r w:rsidR="00E2519E" w:rsidRPr="005057A6">
        <w:rPr>
          <w:rFonts w:ascii="Times New Roman" w:hAnsi="Times New Roman" w:cs="Times New Roman"/>
          <w:kern w:val="24"/>
        </w:rPr>
        <w:t>2014 foi neutr</w:t>
      </w:r>
      <w:r>
        <w:rPr>
          <w:rFonts w:ascii="Times New Roman" w:hAnsi="Times New Roman" w:cs="Times New Roman"/>
          <w:kern w:val="24"/>
        </w:rPr>
        <w:t>o</w:t>
      </w:r>
      <w:r w:rsidR="00E2519E" w:rsidRPr="005057A6">
        <w:rPr>
          <w:rFonts w:ascii="Times New Roman" w:hAnsi="Times New Roman" w:cs="Times New Roman"/>
          <w:kern w:val="24"/>
        </w:rPr>
        <w:t xml:space="preserve"> </w:t>
      </w:r>
      <w:r w:rsidR="00913504">
        <w:rPr>
          <w:rFonts w:ascii="Times New Roman" w:hAnsi="Times New Roman" w:cs="Times New Roman"/>
          <w:kern w:val="24"/>
        </w:rPr>
        <w:t>na comparação com o</w:t>
      </w:r>
      <w:r w:rsidR="00E2519E" w:rsidRPr="005057A6">
        <w:rPr>
          <w:rFonts w:ascii="Times New Roman" w:hAnsi="Times New Roman" w:cs="Times New Roman"/>
          <w:kern w:val="24"/>
        </w:rPr>
        <w:t xml:space="preserve"> RTT</w:t>
      </w:r>
      <w:r w:rsidR="00913504">
        <w:rPr>
          <w:rFonts w:ascii="Times New Roman" w:hAnsi="Times New Roman" w:cs="Times New Roman"/>
          <w:kern w:val="24"/>
        </w:rPr>
        <w:t>, relativamente ao IRPJ e à CSLL</w:t>
      </w:r>
      <w:r w:rsidR="00E2519E" w:rsidRPr="005057A6">
        <w:rPr>
          <w:rFonts w:ascii="Times New Roman" w:hAnsi="Times New Roman" w:cs="Times New Roman"/>
          <w:kern w:val="24"/>
        </w:rPr>
        <w:t xml:space="preserve">. </w:t>
      </w:r>
      <w:r w:rsidR="00A5697D" w:rsidRPr="005057A6">
        <w:rPr>
          <w:rFonts w:ascii="Times New Roman" w:hAnsi="Times New Roman" w:cs="Times New Roman"/>
        </w:rPr>
        <w:t>Contudo</w:t>
      </w:r>
      <w:r w:rsidR="008E4E31" w:rsidRPr="005057A6">
        <w:rPr>
          <w:rFonts w:ascii="Times New Roman" w:hAnsi="Times New Roman" w:cs="Times New Roman"/>
        </w:rPr>
        <w:t xml:space="preserve">, </w:t>
      </w:r>
      <w:r w:rsidR="00FD6778">
        <w:rPr>
          <w:rFonts w:ascii="Times New Roman" w:hAnsi="Times New Roman" w:cs="Times New Roman"/>
        </w:rPr>
        <w:t>no caso da</w:t>
      </w:r>
      <w:r w:rsidR="00E2519E" w:rsidRPr="005057A6">
        <w:rPr>
          <w:rFonts w:ascii="Times New Roman" w:hAnsi="Times New Roman" w:cs="Times New Roman"/>
        </w:rPr>
        <w:t xml:space="preserve"> rejeição das hipóteses nulas H1</w:t>
      </w:r>
      <w:r w:rsidR="00E2519E" w:rsidRPr="005057A6">
        <w:rPr>
          <w:rFonts w:ascii="Times New Roman" w:hAnsi="Times New Roman" w:cs="Times New Roman"/>
          <w:kern w:val="24"/>
          <w:vertAlign w:val="subscript"/>
        </w:rPr>
        <w:t>0</w:t>
      </w:r>
      <w:r w:rsidR="00E2519E" w:rsidRPr="005057A6">
        <w:rPr>
          <w:rFonts w:ascii="Times New Roman" w:hAnsi="Times New Roman" w:cs="Times New Roman"/>
        </w:rPr>
        <w:t xml:space="preserve"> e H2</w:t>
      </w:r>
      <w:r w:rsidR="00E2519E" w:rsidRPr="005057A6">
        <w:rPr>
          <w:rFonts w:ascii="Times New Roman" w:hAnsi="Times New Roman" w:cs="Times New Roman"/>
          <w:kern w:val="24"/>
          <w:vertAlign w:val="subscript"/>
        </w:rPr>
        <w:t>0</w:t>
      </w:r>
      <w:r w:rsidR="008E4E31" w:rsidRPr="005057A6">
        <w:rPr>
          <w:rFonts w:ascii="Times New Roman" w:hAnsi="Times New Roman" w:cs="Times New Roman"/>
        </w:rPr>
        <w:t xml:space="preserve"> não </w:t>
      </w:r>
      <w:r w:rsidR="00FD6778">
        <w:rPr>
          <w:rFonts w:ascii="Times New Roman" w:hAnsi="Times New Roman" w:cs="Times New Roman"/>
        </w:rPr>
        <w:t>h</w:t>
      </w:r>
      <w:r w:rsidR="00A1021A">
        <w:rPr>
          <w:rFonts w:ascii="Times New Roman" w:hAnsi="Times New Roman" w:cs="Times New Roman"/>
        </w:rPr>
        <w:t>averia</w:t>
      </w:r>
      <w:r w:rsidR="00FD6778">
        <w:rPr>
          <w:rFonts w:ascii="Times New Roman" w:hAnsi="Times New Roman" w:cs="Times New Roman"/>
        </w:rPr>
        <w:t xml:space="preserve"> informações</w:t>
      </w:r>
      <w:r w:rsidR="008E4E31" w:rsidRPr="005057A6">
        <w:rPr>
          <w:rFonts w:ascii="Times New Roman" w:hAnsi="Times New Roman" w:cs="Times New Roman"/>
        </w:rPr>
        <w:t xml:space="preserve"> suficiente</w:t>
      </w:r>
      <w:r w:rsidR="00BD2C53">
        <w:rPr>
          <w:rFonts w:ascii="Times New Roman" w:hAnsi="Times New Roman" w:cs="Times New Roman"/>
        </w:rPr>
        <w:t>s</w:t>
      </w:r>
      <w:r w:rsidR="008E4E31" w:rsidRPr="005057A6">
        <w:rPr>
          <w:rFonts w:ascii="Times New Roman" w:hAnsi="Times New Roman" w:cs="Times New Roman"/>
        </w:rPr>
        <w:t xml:space="preserve"> para</w:t>
      </w:r>
      <w:r w:rsidR="00FD6778">
        <w:rPr>
          <w:rFonts w:ascii="Times New Roman" w:hAnsi="Times New Roman" w:cs="Times New Roman"/>
        </w:rPr>
        <w:t xml:space="preserve"> </w:t>
      </w:r>
      <w:r w:rsidR="00A1021A">
        <w:rPr>
          <w:rFonts w:ascii="Times New Roman" w:hAnsi="Times New Roman" w:cs="Times New Roman"/>
        </w:rPr>
        <w:t>sustentar</w:t>
      </w:r>
      <w:r w:rsidR="008E4E31" w:rsidRPr="005057A6">
        <w:rPr>
          <w:rFonts w:ascii="Times New Roman" w:hAnsi="Times New Roman" w:cs="Times New Roman"/>
        </w:rPr>
        <w:t xml:space="preserve"> que </w:t>
      </w:r>
      <w:r w:rsidR="001D2624" w:rsidRPr="005057A6">
        <w:rPr>
          <w:rFonts w:ascii="Times New Roman" w:hAnsi="Times New Roman" w:cs="Times New Roman"/>
        </w:rPr>
        <w:t>o regime da</w:t>
      </w:r>
      <w:r w:rsidR="008E4E31" w:rsidRPr="005057A6">
        <w:rPr>
          <w:rFonts w:ascii="Times New Roman" w:hAnsi="Times New Roman" w:cs="Times New Roman"/>
        </w:rPr>
        <w:t xml:space="preserve"> Lei nº 12.973</w:t>
      </w:r>
      <w:r w:rsidR="009B6610" w:rsidRPr="005057A6">
        <w:rPr>
          <w:rFonts w:ascii="Times New Roman" w:hAnsi="Times New Roman" w:cs="Times New Roman"/>
        </w:rPr>
        <w:t>/</w:t>
      </w:r>
      <w:r w:rsidR="00E2519E" w:rsidRPr="005057A6">
        <w:rPr>
          <w:rFonts w:ascii="Times New Roman" w:hAnsi="Times New Roman" w:cs="Times New Roman"/>
        </w:rPr>
        <w:t>2014</w:t>
      </w:r>
      <w:r w:rsidR="008E4E31" w:rsidRPr="005057A6">
        <w:rPr>
          <w:rFonts w:ascii="Times New Roman" w:hAnsi="Times New Roman" w:cs="Times New Roman"/>
        </w:rPr>
        <w:t xml:space="preserve"> </w:t>
      </w:r>
      <w:r>
        <w:rPr>
          <w:rFonts w:ascii="Times New Roman" w:hAnsi="Times New Roman" w:cs="Times New Roman"/>
        </w:rPr>
        <w:t>foi</w:t>
      </w:r>
      <w:r w:rsidR="008E4E31" w:rsidRPr="005057A6">
        <w:rPr>
          <w:rFonts w:ascii="Times New Roman" w:hAnsi="Times New Roman" w:cs="Times New Roman"/>
        </w:rPr>
        <w:t xml:space="preserve"> </w:t>
      </w:r>
      <w:r w:rsidR="00BD2C53">
        <w:rPr>
          <w:rFonts w:ascii="Times New Roman" w:hAnsi="Times New Roman" w:cs="Times New Roman"/>
        </w:rPr>
        <w:t>a</w:t>
      </w:r>
      <w:r w:rsidR="008D5258">
        <w:rPr>
          <w:rFonts w:ascii="Times New Roman" w:hAnsi="Times New Roman" w:cs="Times New Roman"/>
        </w:rPr>
        <w:t xml:space="preserve"> única</w:t>
      </w:r>
      <w:r w:rsidR="00BD2C53">
        <w:rPr>
          <w:rFonts w:ascii="Times New Roman" w:hAnsi="Times New Roman" w:cs="Times New Roman"/>
        </w:rPr>
        <w:t xml:space="preserve"> causa d</w:t>
      </w:r>
      <w:r w:rsidR="00E2519E" w:rsidRPr="005057A6">
        <w:rPr>
          <w:rFonts w:ascii="Times New Roman" w:hAnsi="Times New Roman" w:cs="Times New Roman"/>
        </w:rPr>
        <w:t xml:space="preserve">as variações </w:t>
      </w:r>
      <w:r w:rsidR="00EC72B2">
        <w:rPr>
          <w:rFonts w:ascii="Times New Roman" w:hAnsi="Times New Roman" w:cs="Times New Roman"/>
        </w:rPr>
        <w:t>estatisticamente significativas verificadas</w:t>
      </w:r>
      <w:r w:rsidR="00913504">
        <w:rPr>
          <w:rFonts w:ascii="Times New Roman" w:hAnsi="Times New Roman" w:cs="Times New Roman"/>
        </w:rPr>
        <w:t xml:space="preserve"> nos níveis de</w:t>
      </w:r>
      <w:r w:rsidR="00327E85" w:rsidRPr="005057A6">
        <w:rPr>
          <w:rFonts w:ascii="Times New Roman" w:hAnsi="Times New Roman" w:cs="Times New Roman"/>
        </w:rPr>
        <w:t xml:space="preserve"> </w:t>
      </w:r>
      <w:r>
        <w:rPr>
          <w:rFonts w:ascii="Times New Roman" w:hAnsi="Times New Roman" w:cs="Times New Roman"/>
        </w:rPr>
        <w:t>tributaç</w:t>
      </w:r>
      <w:r w:rsidR="00913504">
        <w:rPr>
          <w:rFonts w:ascii="Times New Roman" w:hAnsi="Times New Roman" w:cs="Times New Roman"/>
        </w:rPr>
        <w:t>ão</w:t>
      </w:r>
      <w:r>
        <w:rPr>
          <w:rFonts w:ascii="Times New Roman" w:hAnsi="Times New Roman" w:cs="Times New Roman"/>
        </w:rPr>
        <w:t xml:space="preserve"> total e</w:t>
      </w:r>
      <w:r w:rsidR="0094292F">
        <w:rPr>
          <w:rFonts w:ascii="Times New Roman" w:hAnsi="Times New Roman" w:cs="Times New Roman"/>
        </w:rPr>
        <w:t>/ou</w:t>
      </w:r>
      <w:r>
        <w:rPr>
          <w:rFonts w:ascii="Times New Roman" w:hAnsi="Times New Roman" w:cs="Times New Roman"/>
        </w:rPr>
        <w:t xml:space="preserve"> corrente</w:t>
      </w:r>
      <w:r w:rsidR="00913504">
        <w:rPr>
          <w:rFonts w:ascii="Times New Roman" w:hAnsi="Times New Roman" w:cs="Times New Roman"/>
        </w:rPr>
        <w:t xml:space="preserve"> do lucro</w:t>
      </w:r>
      <w:r w:rsidR="00EC72B2">
        <w:rPr>
          <w:rFonts w:ascii="Times New Roman" w:hAnsi="Times New Roman" w:cs="Times New Roman"/>
        </w:rPr>
        <w:t xml:space="preserve"> das companhias</w:t>
      </w:r>
      <w:r w:rsidR="008E4E31" w:rsidRPr="005057A6">
        <w:rPr>
          <w:rFonts w:ascii="Times New Roman" w:hAnsi="Times New Roman" w:cs="Times New Roman"/>
        </w:rPr>
        <w:t xml:space="preserve">. </w:t>
      </w:r>
    </w:p>
    <w:p w14:paraId="285A1041" w14:textId="0D446CDB" w:rsidR="007762DB" w:rsidRDefault="00795D1B" w:rsidP="00F83A22">
      <w:pPr>
        <w:spacing w:after="120"/>
        <w:ind w:firstLine="709"/>
        <w:jc w:val="both"/>
        <w:rPr>
          <w:rFonts w:ascii="Times New Roman" w:hAnsi="Times New Roman" w:cs="Times New Roman"/>
        </w:rPr>
      </w:pPr>
      <w:r w:rsidRPr="005057A6">
        <w:rPr>
          <w:rFonts w:ascii="Times New Roman" w:hAnsi="Times New Roman" w:cs="Times New Roman"/>
        </w:rPr>
        <w:t xml:space="preserve">No setor financeiro, </w:t>
      </w:r>
      <w:r w:rsidR="0094292F">
        <w:rPr>
          <w:rFonts w:ascii="Times New Roman" w:hAnsi="Times New Roman" w:cs="Times New Roman"/>
        </w:rPr>
        <w:t>a retenção da</w:t>
      </w:r>
      <w:r w:rsidR="000F33C1">
        <w:rPr>
          <w:rFonts w:ascii="Times New Roman" w:hAnsi="Times New Roman" w:cs="Times New Roman"/>
        </w:rPr>
        <w:t>s</w:t>
      </w:r>
      <w:r w:rsidRPr="005057A6">
        <w:rPr>
          <w:rFonts w:ascii="Times New Roman" w:hAnsi="Times New Roman" w:cs="Times New Roman"/>
        </w:rPr>
        <w:t xml:space="preserve"> hipótese</w:t>
      </w:r>
      <w:r w:rsidR="000F33C1">
        <w:rPr>
          <w:rFonts w:ascii="Times New Roman" w:hAnsi="Times New Roman" w:cs="Times New Roman"/>
        </w:rPr>
        <w:t>s</w:t>
      </w:r>
      <w:r w:rsidRPr="005057A6">
        <w:rPr>
          <w:rFonts w:ascii="Times New Roman" w:hAnsi="Times New Roman" w:cs="Times New Roman"/>
        </w:rPr>
        <w:t xml:space="preserve"> nula</w:t>
      </w:r>
      <w:r w:rsidR="000F33C1">
        <w:rPr>
          <w:rFonts w:ascii="Times New Roman" w:hAnsi="Times New Roman" w:cs="Times New Roman"/>
        </w:rPr>
        <w:t>s</w:t>
      </w:r>
      <w:r w:rsidRPr="005057A6">
        <w:rPr>
          <w:rFonts w:ascii="Times New Roman" w:hAnsi="Times New Roman" w:cs="Times New Roman"/>
        </w:rPr>
        <w:t xml:space="preserve"> H</w:t>
      </w:r>
      <w:r w:rsidR="000F33C1">
        <w:rPr>
          <w:rFonts w:ascii="Times New Roman" w:hAnsi="Times New Roman" w:cs="Times New Roman"/>
        </w:rPr>
        <w:t>1</w:t>
      </w:r>
      <w:r w:rsidRPr="005057A6">
        <w:rPr>
          <w:rFonts w:ascii="Times New Roman" w:hAnsi="Times New Roman" w:cs="Times New Roman"/>
          <w:kern w:val="24"/>
          <w:vertAlign w:val="subscript"/>
        </w:rPr>
        <w:t>0</w:t>
      </w:r>
      <w:r w:rsidR="0094292F">
        <w:rPr>
          <w:rFonts w:ascii="Times New Roman" w:hAnsi="Times New Roman" w:cs="Times New Roman"/>
        </w:rPr>
        <w:t xml:space="preserve"> </w:t>
      </w:r>
      <w:r w:rsidR="000F33C1">
        <w:rPr>
          <w:rFonts w:ascii="Times New Roman" w:hAnsi="Times New Roman" w:cs="Times New Roman"/>
        </w:rPr>
        <w:t xml:space="preserve">e </w:t>
      </w:r>
      <w:r w:rsidR="000F33C1" w:rsidRPr="00852370">
        <w:rPr>
          <w:rFonts w:ascii="Times New Roman" w:hAnsi="Times New Roman" w:cs="Times New Roman"/>
        </w:rPr>
        <w:t>H</w:t>
      </w:r>
      <w:r w:rsidR="000F33C1">
        <w:rPr>
          <w:rFonts w:ascii="Times New Roman" w:hAnsi="Times New Roman" w:cs="Times New Roman"/>
        </w:rPr>
        <w:t>2</w:t>
      </w:r>
      <w:r w:rsidR="000F33C1" w:rsidRPr="00852370">
        <w:rPr>
          <w:rFonts w:ascii="Times New Roman" w:hAnsi="Times New Roman" w:cs="Times New Roman"/>
          <w:kern w:val="24"/>
          <w:vertAlign w:val="subscript"/>
        </w:rPr>
        <w:t>0</w:t>
      </w:r>
      <w:r w:rsidR="000F33C1">
        <w:rPr>
          <w:rFonts w:ascii="Times New Roman" w:hAnsi="Times New Roman" w:cs="Times New Roman"/>
          <w:kern w:val="24"/>
          <w:vertAlign w:val="subscript"/>
        </w:rPr>
        <w:t xml:space="preserve"> </w:t>
      </w:r>
      <w:r w:rsidR="00044D43" w:rsidRPr="005057A6">
        <w:rPr>
          <w:rFonts w:ascii="Times New Roman" w:hAnsi="Times New Roman" w:cs="Times New Roman"/>
        </w:rPr>
        <w:t>acarretou</w:t>
      </w:r>
      <w:r w:rsidRPr="005057A6">
        <w:rPr>
          <w:rFonts w:ascii="Times New Roman" w:hAnsi="Times New Roman" w:cs="Times New Roman"/>
        </w:rPr>
        <w:t xml:space="preserve"> a conclusão de que </w:t>
      </w:r>
      <w:r w:rsidR="00D4310A">
        <w:rPr>
          <w:rFonts w:ascii="Times New Roman" w:hAnsi="Times New Roman" w:cs="Times New Roman"/>
        </w:rPr>
        <w:t>o tratamento tributário</w:t>
      </w:r>
      <w:r w:rsidR="008D5258">
        <w:rPr>
          <w:rFonts w:ascii="Times New Roman" w:hAnsi="Times New Roman" w:cs="Times New Roman"/>
        </w:rPr>
        <w:t xml:space="preserve"> instituído pela</w:t>
      </w:r>
      <w:r w:rsidR="00636592" w:rsidRPr="005057A6">
        <w:rPr>
          <w:rFonts w:ascii="Times New Roman" w:hAnsi="Times New Roman" w:cs="Times New Roman"/>
        </w:rPr>
        <w:t xml:space="preserve"> Lei nº 12.973</w:t>
      </w:r>
      <w:r w:rsidR="009B6610" w:rsidRPr="005057A6">
        <w:rPr>
          <w:rFonts w:ascii="Times New Roman" w:hAnsi="Times New Roman" w:cs="Times New Roman"/>
        </w:rPr>
        <w:t>/</w:t>
      </w:r>
      <w:r w:rsidR="00636592" w:rsidRPr="005057A6">
        <w:rPr>
          <w:rFonts w:ascii="Times New Roman" w:hAnsi="Times New Roman" w:cs="Times New Roman"/>
        </w:rPr>
        <w:t>2014 foi neutr</w:t>
      </w:r>
      <w:r w:rsidR="00D4310A">
        <w:rPr>
          <w:rFonts w:ascii="Times New Roman" w:hAnsi="Times New Roman" w:cs="Times New Roman"/>
        </w:rPr>
        <w:t>o</w:t>
      </w:r>
      <w:r w:rsidR="0094292F">
        <w:rPr>
          <w:rFonts w:ascii="Times New Roman" w:hAnsi="Times New Roman" w:cs="Times New Roman"/>
        </w:rPr>
        <w:t xml:space="preserve"> em relação ao RTT</w:t>
      </w:r>
      <w:r w:rsidR="00636592" w:rsidRPr="005057A6">
        <w:rPr>
          <w:rFonts w:ascii="Times New Roman" w:hAnsi="Times New Roman" w:cs="Times New Roman"/>
        </w:rPr>
        <w:t xml:space="preserve">, muito </w:t>
      </w:r>
      <w:r w:rsidRPr="005057A6">
        <w:rPr>
          <w:rFonts w:ascii="Times New Roman" w:hAnsi="Times New Roman" w:cs="Times New Roman"/>
        </w:rPr>
        <w:t xml:space="preserve">embora as alíquotas da CSLL tenham sido majoradas </w:t>
      </w:r>
      <w:r w:rsidR="00807CA8">
        <w:rPr>
          <w:rFonts w:ascii="Times New Roman" w:hAnsi="Times New Roman" w:cs="Times New Roman"/>
        </w:rPr>
        <w:t>a partir de 2015</w:t>
      </w:r>
      <w:r w:rsidR="00044D43" w:rsidRPr="005057A6">
        <w:rPr>
          <w:rFonts w:ascii="Times New Roman" w:hAnsi="Times New Roman" w:cs="Times New Roman"/>
        </w:rPr>
        <w:t xml:space="preserve">. Todavia, </w:t>
      </w:r>
      <w:r w:rsidR="00145406">
        <w:rPr>
          <w:rFonts w:ascii="Times New Roman" w:hAnsi="Times New Roman" w:cs="Times New Roman"/>
        </w:rPr>
        <w:t>a</w:t>
      </w:r>
      <w:r w:rsidR="00044D43" w:rsidRPr="005057A6">
        <w:rPr>
          <w:rFonts w:ascii="Times New Roman" w:hAnsi="Times New Roman" w:cs="Times New Roman"/>
        </w:rPr>
        <w:t xml:space="preserve"> rejeição </w:t>
      </w:r>
      <w:r w:rsidR="000F33C1">
        <w:rPr>
          <w:rFonts w:ascii="Times New Roman" w:hAnsi="Times New Roman" w:cs="Times New Roman"/>
        </w:rPr>
        <w:t>das</w:t>
      </w:r>
      <w:r w:rsidR="000F33C1" w:rsidRPr="00852370">
        <w:rPr>
          <w:rFonts w:ascii="Times New Roman" w:hAnsi="Times New Roman" w:cs="Times New Roman"/>
        </w:rPr>
        <w:t xml:space="preserve"> hipótese</w:t>
      </w:r>
      <w:r w:rsidR="000F33C1">
        <w:rPr>
          <w:rFonts w:ascii="Times New Roman" w:hAnsi="Times New Roman" w:cs="Times New Roman"/>
        </w:rPr>
        <w:t>s</w:t>
      </w:r>
      <w:r w:rsidR="000F33C1" w:rsidRPr="00852370">
        <w:rPr>
          <w:rFonts w:ascii="Times New Roman" w:hAnsi="Times New Roman" w:cs="Times New Roman"/>
        </w:rPr>
        <w:t xml:space="preserve"> nula</w:t>
      </w:r>
      <w:r w:rsidR="000F33C1">
        <w:rPr>
          <w:rFonts w:ascii="Times New Roman" w:hAnsi="Times New Roman" w:cs="Times New Roman"/>
        </w:rPr>
        <w:t>s</w:t>
      </w:r>
      <w:r w:rsidR="000F33C1" w:rsidRPr="00852370">
        <w:rPr>
          <w:rFonts w:ascii="Times New Roman" w:hAnsi="Times New Roman" w:cs="Times New Roman"/>
        </w:rPr>
        <w:t xml:space="preserve"> H</w:t>
      </w:r>
      <w:r w:rsidR="000F33C1">
        <w:rPr>
          <w:rFonts w:ascii="Times New Roman" w:hAnsi="Times New Roman" w:cs="Times New Roman"/>
        </w:rPr>
        <w:t>1</w:t>
      </w:r>
      <w:r w:rsidR="000F33C1" w:rsidRPr="00852370">
        <w:rPr>
          <w:rFonts w:ascii="Times New Roman" w:hAnsi="Times New Roman" w:cs="Times New Roman"/>
          <w:kern w:val="24"/>
          <w:vertAlign w:val="subscript"/>
        </w:rPr>
        <w:t>0</w:t>
      </w:r>
      <w:r w:rsidR="000F33C1">
        <w:rPr>
          <w:rFonts w:ascii="Times New Roman" w:hAnsi="Times New Roman" w:cs="Times New Roman"/>
        </w:rPr>
        <w:t xml:space="preserve"> e </w:t>
      </w:r>
      <w:r w:rsidR="000F33C1" w:rsidRPr="00852370">
        <w:rPr>
          <w:rFonts w:ascii="Times New Roman" w:hAnsi="Times New Roman" w:cs="Times New Roman"/>
        </w:rPr>
        <w:t>H</w:t>
      </w:r>
      <w:r w:rsidR="000F33C1">
        <w:rPr>
          <w:rFonts w:ascii="Times New Roman" w:hAnsi="Times New Roman" w:cs="Times New Roman"/>
        </w:rPr>
        <w:t>2</w:t>
      </w:r>
      <w:r w:rsidR="000F33C1" w:rsidRPr="00852370">
        <w:rPr>
          <w:rFonts w:ascii="Times New Roman" w:hAnsi="Times New Roman" w:cs="Times New Roman"/>
          <w:kern w:val="24"/>
          <w:vertAlign w:val="subscript"/>
        </w:rPr>
        <w:t>0</w:t>
      </w:r>
      <w:r w:rsidR="00044D43" w:rsidRPr="005057A6">
        <w:rPr>
          <w:rFonts w:ascii="Times New Roman" w:hAnsi="Times New Roman" w:cs="Times New Roman"/>
        </w:rPr>
        <w:t xml:space="preserve"> </w:t>
      </w:r>
      <w:r w:rsidR="00FD6778">
        <w:rPr>
          <w:rFonts w:ascii="Times New Roman" w:hAnsi="Times New Roman" w:cs="Times New Roman"/>
        </w:rPr>
        <w:t>pode</w:t>
      </w:r>
      <w:r w:rsidR="00A1021A">
        <w:rPr>
          <w:rFonts w:ascii="Times New Roman" w:hAnsi="Times New Roman" w:cs="Times New Roman"/>
        </w:rPr>
        <w:t>ria</w:t>
      </w:r>
      <w:r w:rsidR="00FD6778">
        <w:rPr>
          <w:rFonts w:ascii="Times New Roman" w:hAnsi="Times New Roman" w:cs="Times New Roman"/>
        </w:rPr>
        <w:t xml:space="preserve"> indicar</w:t>
      </w:r>
      <w:r w:rsidR="00807CA8">
        <w:rPr>
          <w:rFonts w:ascii="Times New Roman" w:hAnsi="Times New Roman" w:cs="Times New Roman"/>
        </w:rPr>
        <w:t xml:space="preserve"> </w:t>
      </w:r>
      <w:r w:rsidR="00044D43" w:rsidRPr="005057A6">
        <w:rPr>
          <w:rFonts w:ascii="Times New Roman" w:hAnsi="Times New Roman" w:cs="Times New Roman"/>
        </w:rPr>
        <w:t xml:space="preserve">que </w:t>
      </w:r>
      <w:r w:rsidR="00017A33">
        <w:rPr>
          <w:rFonts w:ascii="Times New Roman" w:hAnsi="Times New Roman" w:cs="Times New Roman"/>
        </w:rPr>
        <w:t>essa</w:t>
      </w:r>
      <w:r w:rsidR="00044D43" w:rsidRPr="005057A6">
        <w:rPr>
          <w:rFonts w:ascii="Times New Roman" w:hAnsi="Times New Roman" w:cs="Times New Roman"/>
        </w:rPr>
        <w:t xml:space="preserve"> majoração das alíquotas da CSLL </w:t>
      </w:r>
      <w:r w:rsidR="00636592" w:rsidRPr="005057A6">
        <w:rPr>
          <w:rFonts w:ascii="Times New Roman" w:hAnsi="Times New Roman" w:cs="Times New Roman"/>
        </w:rPr>
        <w:t>surtiu efeitos sobre a carga tributária das companhias</w:t>
      </w:r>
      <w:r w:rsidR="00D4310A">
        <w:rPr>
          <w:rFonts w:ascii="Times New Roman" w:hAnsi="Times New Roman" w:cs="Times New Roman"/>
        </w:rPr>
        <w:t xml:space="preserve">, no caso em que </w:t>
      </w:r>
      <w:r w:rsidR="00EC72B2">
        <w:rPr>
          <w:rFonts w:ascii="Times New Roman" w:hAnsi="Times New Roman" w:cs="Times New Roman"/>
        </w:rPr>
        <w:t xml:space="preserve">tenha </w:t>
      </w:r>
      <w:r w:rsidR="00FD6778">
        <w:rPr>
          <w:rFonts w:ascii="Times New Roman" w:hAnsi="Times New Roman" w:cs="Times New Roman"/>
        </w:rPr>
        <w:t>ocorrido</w:t>
      </w:r>
      <w:r w:rsidR="00D4310A">
        <w:rPr>
          <w:rFonts w:ascii="Times New Roman" w:hAnsi="Times New Roman" w:cs="Times New Roman"/>
        </w:rPr>
        <w:t xml:space="preserve"> </w:t>
      </w:r>
      <w:r w:rsidR="00807CA8">
        <w:rPr>
          <w:rFonts w:ascii="Times New Roman" w:hAnsi="Times New Roman" w:cs="Times New Roman"/>
        </w:rPr>
        <w:t>aumento</w:t>
      </w:r>
      <w:r w:rsidR="00D4310A">
        <w:rPr>
          <w:rFonts w:ascii="Times New Roman" w:hAnsi="Times New Roman" w:cs="Times New Roman"/>
        </w:rPr>
        <w:t xml:space="preserve"> nas </w:t>
      </w:r>
      <w:proofErr w:type="spellStart"/>
      <w:r w:rsidR="00D4310A">
        <w:rPr>
          <w:rFonts w:ascii="Times New Roman" w:hAnsi="Times New Roman" w:cs="Times New Roman"/>
        </w:rPr>
        <w:t>Ca</w:t>
      </w:r>
      <w:r w:rsidR="00FD6778">
        <w:rPr>
          <w:rFonts w:ascii="Times New Roman" w:hAnsi="Times New Roman" w:cs="Times New Roman"/>
        </w:rPr>
        <w:t>s</w:t>
      </w:r>
      <w:r w:rsidR="00D4310A">
        <w:rPr>
          <w:rFonts w:ascii="Times New Roman" w:hAnsi="Times New Roman" w:cs="Times New Roman"/>
        </w:rPr>
        <w:t>hETRt</w:t>
      </w:r>
      <w:proofErr w:type="spellEnd"/>
      <w:r w:rsidR="00D4310A">
        <w:rPr>
          <w:rFonts w:ascii="Times New Roman" w:hAnsi="Times New Roman" w:cs="Times New Roman"/>
        </w:rPr>
        <w:t xml:space="preserve"> e </w:t>
      </w:r>
      <w:proofErr w:type="spellStart"/>
      <w:r w:rsidR="00D4310A">
        <w:rPr>
          <w:rFonts w:ascii="Times New Roman" w:hAnsi="Times New Roman" w:cs="Times New Roman"/>
        </w:rPr>
        <w:t>CashETRc</w:t>
      </w:r>
      <w:proofErr w:type="spellEnd"/>
      <w:r w:rsidR="00D4310A">
        <w:rPr>
          <w:rFonts w:ascii="Times New Roman" w:hAnsi="Times New Roman" w:cs="Times New Roman"/>
        </w:rPr>
        <w:t xml:space="preserve"> </w:t>
      </w:r>
      <w:r w:rsidR="00807CA8">
        <w:rPr>
          <w:rFonts w:ascii="Times New Roman" w:hAnsi="Times New Roman" w:cs="Times New Roman"/>
        </w:rPr>
        <w:t>entre os quinquênios</w:t>
      </w:r>
      <w:r w:rsidR="00636592" w:rsidRPr="005057A6">
        <w:rPr>
          <w:rFonts w:ascii="Times New Roman" w:hAnsi="Times New Roman" w:cs="Times New Roman"/>
        </w:rPr>
        <w:t>.</w:t>
      </w:r>
    </w:p>
    <w:p w14:paraId="76D904AE" w14:textId="4B89A2D8" w:rsidR="00795D1B" w:rsidRDefault="00795D1B" w:rsidP="0002354A">
      <w:pPr>
        <w:spacing w:after="120"/>
        <w:jc w:val="both"/>
        <w:rPr>
          <w:rFonts w:ascii="Times New Roman" w:hAnsi="Times New Roman" w:cs="Times New Roman"/>
        </w:rPr>
      </w:pPr>
    </w:p>
    <w:p w14:paraId="7A390AF6" w14:textId="77777777" w:rsidR="00865ADB" w:rsidRDefault="00865ADB" w:rsidP="0002354A">
      <w:pPr>
        <w:spacing w:after="120"/>
        <w:jc w:val="both"/>
        <w:rPr>
          <w:rFonts w:ascii="Times New Roman" w:hAnsi="Times New Roman" w:cs="Times New Roman"/>
        </w:rPr>
      </w:pPr>
    </w:p>
    <w:p w14:paraId="222E4EE1" w14:textId="48DCA1CD" w:rsidR="00572A9A" w:rsidRDefault="00073A36" w:rsidP="0002354A">
      <w:pPr>
        <w:spacing w:after="120"/>
        <w:jc w:val="both"/>
        <w:rPr>
          <w:rFonts w:ascii="Times New Roman" w:hAnsi="Times New Roman" w:cs="Times New Roman"/>
          <w:b/>
          <w:bCs/>
        </w:rPr>
      </w:pPr>
      <w:r w:rsidRPr="005D7A5F">
        <w:rPr>
          <w:rFonts w:ascii="Times New Roman" w:hAnsi="Times New Roman" w:cs="Times New Roman"/>
          <w:b/>
          <w:bCs/>
        </w:rPr>
        <w:t xml:space="preserve">4 </w:t>
      </w:r>
      <w:r w:rsidR="005D7A5F" w:rsidRPr="005D7A5F">
        <w:rPr>
          <w:rFonts w:ascii="Times New Roman" w:hAnsi="Times New Roman" w:cs="Times New Roman"/>
          <w:b/>
          <w:bCs/>
        </w:rPr>
        <w:t>RESULTADOS</w:t>
      </w:r>
    </w:p>
    <w:p w14:paraId="53381C59" w14:textId="77777777" w:rsidR="0010625B" w:rsidRDefault="0010625B" w:rsidP="0002354A">
      <w:pPr>
        <w:spacing w:after="120"/>
        <w:jc w:val="both"/>
        <w:rPr>
          <w:rFonts w:ascii="Times New Roman" w:hAnsi="Times New Roman" w:cs="Times New Roman"/>
          <w:b/>
          <w:bCs/>
        </w:rPr>
      </w:pPr>
    </w:p>
    <w:p w14:paraId="75B66727" w14:textId="08A020CC" w:rsidR="00DA5FEF" w:rsidRDefault="00DA5FEF" w:rsidP="0002354A">
      <w:pPr>
        <w:spacing w:after="120"/>
        <w:jc w:val="both"/>
        <w:rPr>
          <w:rFonts w:ascii="Times New Roman" w:hAnsi="Times New Roman" w:cs="Times New Roman"/>
        </w:rPr>
      </w:pPr>
      <w:r>
        <w:rPr>
          <w:rFonts w:ascii="Times New Roman" w:hAnsi="Times New Roman" w:cs="Times New Roman"/>
          <w:b/>
          <w:bCs/>
        </w:rPr>
        <w:t>4.1</w:t>
      </w:r>
      <w:r>
        <w:rPr>
          <w:rFonts w:ascii="Times New Roman" w:hAnsi="Times New Roman" w:cs="Times New Roman"/>
        </w:rPr>
        <w:t xml:space="preserve"> </w:t>
      </w:r>
      <w:r w:rsidRPr="00DA5FEF">
        <w:rPr>
          <w:rFonts w:ascii="Times New Roman" w:hAnsi="Times New Roman" w:cs="Times New Roman"/>
          <w:b/>
          <w:bCs/>
        </w:rPr>
        <w:t>Estatística Descritiva</w:t>
      </w:r>
    </w:p>
    <w:p w14:paraId="654A5B11" w14:textId="0092BC53" w:rsidR="00DA5FEF" w:rsidRDefault="00DA5FEF"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As</w:t>
      </w:r>
      <w:r w:rsidR="00C83281">
        <w:rPr>
          <w:rFonts w:ascii="Times New Roman" w:hAnsi="Times New Roman" w:cs="Times New Roman"/>
        </w:rPr>
        <w:t xml:space="preserve"> </w:t>
      </w:r>
      <w:r>
        <w:rPr>
          <w:rFonts w:ascii="Times New Roman" w:hAnsi="Times New Roman" w:cs="Times New Roman"/>
        </w:rPr>
        <w:t>m</w:t>
      </w:r>
      <w:r w:rsidR="00C83281">
        <w:rPr>
          <w:rFonts w:ascii="Times New Roman" w:hAnsi="Times New Roman" w:cs="Times New Roman"/>
        </w:rPr>
        <w:t>edianas das</w:t>
      </w:r>
      <w:r w:rsidR="00300AD5">
        <w:rPr>
          <w:rFonts w:ascii="Times New Roman" w:hAnsi="Times New Roman" w:cs="Times New Roman"/>
        </w:rPr>
        <w:t xml:space="preserve"> variáveis</w:t>
      </w:r>
      <w:r w:rsidR="00C83281">
        <w:rPr>
          <w:rFonts w:ascii="Times New Roman" w:hAnsi="Times New Roman" w:cs="Times New Roman"/>
        </w:rPr>
        <w:t xml:space="preserve"> </w:t>
      </w:r>
      <w:proofErr w:type="spellStart"/>
      <w:r>
        <w:rPr>
          <w:rFonts w:ascii="Times New Roman" w:hAnsi="Times New Roman" w:cs="Times New Roman"/>
        </w:rPr>
        <w:t>Cash</w:t>
      </w:r>
      <w:r w:rsidR="00C83281">
        <w:rPr>
          <w:rFonts w:ascii="Times New Roman" w:hAnsi="Times New Roman" w:cs="Times New Roman"/>
        </w:rPr>
        <w:t>ETR</w:t>
      </w:r>
      <w:r>
        <w:rPr>
          <w:rFonts w:ascii="Times New Roman" w:hAnsi="Times New Roman" w:cs="Times New Roman"/>
        </w:rPr>
        <w:t>t</w:t>
      </w:r>
      <w:proofErr w:type="spellEnd"/>
      <w:r>
        <w:rPr>
          <w:rFonts w:ascii="Times New Roman" w:hAnsi="Times New Roman" w:cs="Times New Roman"/>
        </w:rPr>
        <w:t xml:space="preserve"> e das </w:t>
      </w:r>
      <w:proofErr w:type="spellStart"/>
      <w:r>
        <w:rPr>
          <w:rFonts w:ascii="Times New Roman" w:hAnsi="Times New Roman" w:cs="Times New Roman"/>
        </w:rPr>
        <w:t>CashETRc</w:t>
      </w:r>
      <w:proofErr w:type="spellEnd"/>
      <w:r>
        <w:rPr>
          <w:rFonts w:ascii="Times New Roman" w:hAnsi="Times New Roman" w:cs="Times New Roman"/>
        </w:rPr>
        <w:t xml:space="preserve"> </w:t>
      </w:r>
      <w:r w:rsidR="00856E4D">
        <w:rPr>
          <w:rFonts w:ascii="Times New Roman" w:hAnsi="Times New Roman" w:cs="Times New Roman"/>
        </w:rPr>
        <w:t xml:space="preserve">verificadas </w:t>
      </w:r>
      <w:r>
        <w:rPr>
          <w:rFonts w:ascii="Times New Roman" w:hAnsi="Times New Roman" w:cs="Times New Roman"/>
        </w:rPr>
        <w:t xml:space="preserve">nos setores </w:t>
      </w:r>
      <w:r w:rsidR="009B1777">
        <w:rPr>
          <w:rFonts w:ascii="Times New Roman" w:hAnsi="Times New Roman" w:cs="Times New Roman"/>
        </w:rPr>
        <w:t>não financeiro (</w:t>
      </w:r>
      <w:r>
        <w:rPr>
          <w:rFonts w:ascii="Times New Roman" w:hAnsi="Times New Roman" w:cs="Times New Roman"/>
        </w:rPr>
        <w:t>comércio, indústria,</w:t>
      </w:r>
      <w:r w:rsidR="00C83281">
        <w:rPr>
          <w:rFonts w:ascii="Times New Roman" w:hAnsi="Times New Roman" w:cs="Times New Roman"/>
        </w:rPr>
        <w:t xml:space="preserve"> </w:t>
      </w:r>
      <w:r>
        <w:rPr>
          <w:rFonts w:ascii="Times New Roman" w:hAnsi="Times New Roman" w:cs="Times New Roman"/>
        </w:rPr>
        <w:t>serviços e exploração de imóveis</w:t>
      </w:r>
      <w:r w:rsidR="009B1777">
        <w:rPr>
          <w:rFonts w:ascii="Times New Roman" w:hAnsi="Times New Roman" w:cs="Times New Roman"/>
        </w:rPr>
        <w:t>)</w:t>
      </w:r>
      <w:r>
        <w:rPr>
          <w:rFonts w:ascii="Times New Roman" w:hAnsi="Times New Roman" w:cs="Times New Roman"/>
        </w:rPr>
        <w:t xml:space="preserve"> e </w:t>
      </w:r>
      <w:r w:rsidR="00211883">
        <w:rPr>
          <w:rFonts w:ascii="Times New Roman" w:hAnsi="Times New Roman" w:cs="Times New Roman"/>
        </w:rPr>
        <w:t>n</w:t>
      </w:r>
      <w:r>
        <w:rPr>
          <w:rFonts w:ascii="Times New Roman" w:hAnsi="Times New Roman" w:cs="Times New Roman"/>
        </w:rPr>
        <w:t>o setor financeiro</w:t>
      </w:r>
      <w:r w:rsidR="009B1777">
        <w:rPr>
          <w:rFonts w:ascii="Times New Roman" w:hAnsi="Times New Roman" w:cs="Times New Roman"/>
        </w:rPr>
        <w:t xml:space="preserve"> (bancos e outros)</w:t>
      </w:r>
      <w:r>
        <w:rPr>
          <w:rFonts w:ascii="Times New Roman" w:hAnsi="Times New Roman" w:cs="Times New Roman"/>
        </w:rPr>
        <w:t xml:space="preserve"> estão indicados na </w:t>
      </w:r>
      <w:r w:rsidR="00CF5E21">
        <w:rPr>
          <w:rFonts w:ascii="Times New Roman" w:hAnsi="Times New Roman" w:cs="Times New Roman"/>
        </w:rPr>
        <w:t>T</w:t>
      </w:r>
      <w:r>
        <w:rPr>
          <w:rFonts w:ascii="Times New Roman" w:hAnsi="Times New Roman" w:cs="Times New Roman"/>
        </w:rPr>
        <w:t xml:space="preserve">abela </w:t>
      </w:r>
      <w:r w:rsidR="00CF5E21">
        <w:rPr>
          <w:rFonts w:ascii="Times New Roman" w:hAnsi="Times New Roman" w:cs="Times New Roman"/>
        </w:rPr>
        <w:t>1 a seguir</w:t>
      </w:r>
      <w:r w:rsidR="008D5258">
        <w:rPr>
          <w:rFonts w:ascii="Times New Roman" w:hAnsi="Times New Roman" w:cs="Times New Roman"/>
        </w:rPr>
        <w:t>, relativamente aos quinquênios de 2010 a 2014 e 2015 a 2019</w:t>
      </w:r>
      <w:r w:rsidR="00865ADB">
        <w:rPr>
          <w:rFonts w:ascii="Times New Roman" w:hAnsi="Times New Roman" w:cs="Times New Roman"/>
        </w:rPr>
        <w:t>:</w:t>
      </w:r>
    </w:p>
    <w:p w14:paraId="2CE31A02" w14:textId="669932AD" w:rsidR="00856E4D" w:rsidRPr="00B32ABD" w:rsidRDefault="00895CCF" w:rsidP="00895CCF">
      <w:pPr>
        <w:pStyle w:val="Corpodetexto"/>
        <w:spacing w:after="0" w:line="240" w:lineRule="auto"/>
        <w:jc w:val="both"/>
        <w:rPr>
          <w:rFonts w:ascii="Times New Roman" w:hAnsi="Times New Roman" w:cs="Times New Roman"/>
          <w:sz w:val="22"/>
          <w:szCs w:val="22"/>
        </w:rPr>
      </w:pPr>
      <w:r w:rsidRPr="00B32ABD">
        <w:rPr>
          <w:rFonts w:ascii="Times New Roman" w:hAnsi="Times New Roman" w:cs="Times New Roman"/>
          <w:sz w:val="22"/>
          <w:szCs w:val="22"/>
        </w:rPr>
        <w:t xml:space="preserve">Tabela </w:t>
      </w:r>
      <w:r w:rsidR="00CB5C9F" w:rsidRPr="00B32ABD">
        <w:rPr>
          <w:rFonts w:ascii="Times New Roman" w:hAnsi="Times New Roman" w:cs="Times New Roman"/>
          <w:sz w:val="22"/>
          <w:szCs w:val="22"/>
        </w:rPr>
        <w:t>1</w:t>
      </w:r>
      <w:r w:rsidRPr="00B32ABD">
        <w:rPr>
          <w:rFonts w:ascii="Times New Roman" w:hAnsi="Times New Roman" w:cs="Times New Roman"/>
          <w:sz w:val="22"/>
          <w:szCs w:val="22"/>
        </w:rPr>
        <w:t xml:space="preserve"> – Medianas das </w:t>
      </w:r>
      <w:proofErr w:type="spellStart"/>
      <w:r w:rsidRPr="00B32ABD">
        <w:rPr>
          <w:rFonts w:ascii="Times New Roman" w:hAnsi="Times New Roman" w:cs="Times New Roman"/>
          <w:sz w:val="22"/>
          <w:szCs w:val="22"/>
        </w:rPr>
        <w:t>CashETRt</w:t>
      </w:r>
      <w:proofErr w:type="spellEnd"/>
      <w:r w:rsidRPr="00B32ABD">
        <w:rPr>
          <w:rFonts w:ascii="Times New Roman" w:hAnsi="Times New Roman" w:cs="Times New Roman"/>
          <w:sz w:val="22"/>
          <w:szCs w:val="22"/>
        </w:rPr>
        <w:t xml:space="preserve"> e </w:t>
      </w:r>
      <w:proofErr w:type="spellStart"/>
      <w:r w:rsidRPr="00B32ABD">
        <w:rPr>
          <w:rFonts w:ascii="Times New Roman" w:hAnsi="Times New Roman" w:cs="Times New Roman"/>
          <w:sz w:val="22"/>
          <w:szCs w:val="22"/>
        </w:rPr>
        <w:t>CashETRc</w:t>
      </w:r>
      <w:proofErr w:type="spellEnd"/>
      <w:r w:rsidRPr="00B32ABD">
        <w:rPr>
          <w:rFonts w:ascii="Times New Roman" w:hAnsi="Times New Roman" w:cs="Times New Roman"/>
          <w:sz w:val="22"/>
          <w:szCs w:val="22"/>
        </w:rPr>
        <w:t xml:space="preserve"> nos setores de atividade econômica, nos quinquênios comparados</w:t>
      </w:r>
    </w:p>
    <w:tbl>
      <w:tblPr>
        <w:tblW w:w="9071" w:type="dxa"/>
        <w:tblCellMar>
          <w:left w:w="70" w:type="dxa"/>
          <w:right w:w="70" w:type="dxa"/>
        </w:tblCellMar>
        <w:tblLook w:val="04A0" w:firstRow="1" w:lastRow="0" w:firstColumn="1" w:lastColumn="0" w:noHBand="0" w:noVBand="1"/>
      </w:tblPr>
      <w:tblGrid>
        <w:gridCol w:w="3261"/>
        <w:gridCol w:w="1377"/>
        <w:gridCol w:w="1525"/>
        <w:gridCol w:w="1408"/>
        <w:gridCol w:w="1500"/>
      </w:tblGrid>
      <w:tr w:rsidR="00F6132E" w:rsidRPr="00B32ABD" w14:paraId="1D2ECFAD" w14:textId="77777777" w:rsidTr="00CF5E21">
        <w:trPr>
          <w:trHeight w:val="441"/>
        </w:trPr>
        <w:tc>
          <w:tcPr>
            <w:tcW w:w="3261" w:type="dxa"/>
            <w:vMerge w:val="restart"/>
            <w:tcBorders>
              <w:top w:val="single" w:sz="4" w:space="0" w:color="auto"/>
              <w:bottom w:val="single" w:sz="4" w:space="0" w:color="auto"/>
            </w:tcBorders>
            <w:shd w:val="clear" w:color="auto" w:fill="FFFFFF" w:themeFill="background1"/>
            <w:noWrap/>
            <w:vAlign w:val="center"/>
            <w:hideMark/>
          </w:tcPr>
          <w:p w14:paraId="20FCDDD8" w14:textId="17CAF209"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 xml:space="preserve">Setor / </w:t>
            </w:r>
            <w:r w:rsidR="002969AB" w:rsidRPr="00B32ABD">
              <w:rPr>
                <w:rFonts w:ascii="Times New Roman" w:eastAsia="Times New Roman" w:hAnsi="Times New Roman" w:cs="Times New Roman"/>
                <w:b/>
                <w:bCs/>
                <w:kern w:val="0"/>
                <w:sz w:val="22"/>
                <w:szCs w:val="22"/>
                <w:lang w:eastAsia="pt-BR" w:bidi="ar-SA"/>
              </w:rPr>
              <w:t>Estatística</w:t>
            </w:r>
            <w:r w:rsidRPr="00B32ABD">
              <w:rPr>
                <w:rFonts w:ascii="Times New Roman" w:eastAsia="Times New Roman" w:hAnsi="Times New Roman" w:cs="Times New Roman"/>
                <w:b/>
                <w:bCs/>
                <w:kern w:val="0"/>
                <w:sz w:val="22"/>
                <w:szCs w:val="22"/>
                <w:lang w:eastAsia="pt-BR" w:bidi="ar-SA"/>
              </w:rPr>
              <w:t xml:space="preserve"> /Quinquênio</w:t>
            </w:r>
          </w:p>
        </w:tc>
        <w:tc>
          <w:tcPr>
            <w:tcW w:w="2902" w:type="dxa"/>
            <w:gridSpan w:val="2"/>
            <w:tcBorders>
              <w:top w:val="single" w:sz="4" w:space="0" w:color="auto"/>
              <w:bottom w:val="single" w:sz="4" w:space="0" w:color="auto"/>
            </w:tcBorders>
            <w:shd w:val="clear" w:color="auto" w:fill="FFFFFF" w:themeFill="background1"/>
            <w:noWrap/>
            <w:vAlign w:val="center"/>
            <w:hideMark/>
          </w:tcPr>
          <w:p w14:paraId="1FD77313" w14:textId="489BDA86"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 xml:space="preserve">Mediana </w:t>
            </w:r>
            <w:r w:rsidR="00667B2B" w:rsidRPr="00B32ABD">
              <w:rPr>
                <w:rFonts w:ascii="Times New Roman" w:eastAsia="Times New Roman" w:hAnsi="Times New Roman" w:cs="Times New Roman"/>
                <w:b/>
                <w:bCs/>
                <w:kern w:val="0"/>
                <w:sz w:val="22"/>
                <w:szCs w:val="22"/>
                <w:lang w:eastAsia="pt-BR" w:bidi="ar-SA"/>
              </w:rPr>
              <w:t>–</w:t>
            </w:r>
            <w:r w:rsidRPr="00B32ABD">
              <w:rPr>
                <w:rFonts w:ascii="Times New Roman" w:eastAsia="Times New Roman" w:hAnsi="Times New Roman" w:cs="Times New Roman"/>
                <w:b/>
                <w:bCs/>
                <w:kern w:val="0"/>
                <w:sz w:val="22"/>
                <w:szCs w:val="22"/>
                <w:lang w:eastAsia="pt-BR" w:bidi="ar-SA"/>
              </w:rPr>
              <w:t xml:space="preserve"> </w:t>
            </w:r>
            <w:proofErr w:type="spellStart"/>
            <w:r w:rsidRPr="00B32ABD">
              <w:rPr>
                <w:rFonts w:ascii="Times New Roman" w:eastAsia="Times New Roman" w:hAnsi="Times New Roman" w:cs="Times New Roman"/>
                <w:b/>
                <w:bCs/>
                <w:kern w:val="0"/>
                <w:sz w:val="22"/>
                <w:szCs w:val="22"/>
                <w:lang w:eastAsia="pt-BR" w:bidi="ar-SA"/>
              </w:rPr>
              <w:t>CashETRt</w:t>
            </w:r>
            <w:proofErr w:type="spellEnd"/>
          </w:p>
        </w:tc>
        <w:tc>
          <w:tcPr>
            <w:tcW w:w="2908" w:type="dxa"/>
            <w:gridSpan w:val="2"/>
            <w:tcBorders>
              <w:top w:val="single" w:sz="4" w:space="0" w:color="auto"/>
              <w:bottom w:val="single" w:sz="4" w:space="0" w:color="auto"/>
            </w:tcBorders>
            <w:shd w:val="clear" w:color="auto" w:fill="FFFFFF" w:themeFill="background1"/>
            <w:noWrap/>
            <w:vAlign w:val="center"/>
            <w:hideMark/>
          </w:tcPr>
          <w:p w14:paraId="27665DF2" w14:textId="779284C5"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 xml:space="preserve">Mediana </w:t>
            </w:r>
            <w:r w:rsidR="00923AEF" w:rsidRPr="00B32ABD">
              <w:rPr>
                <w:rFonts w:ascii="Times New Roman" w:eastAsia="Times New Roman" w:hAnsi="Times New Roman" w:cs="Times New Roman"/>
                <w:b/>
                <w:bCs/>
                <w:kern w:val="0"/>
                <w:sz w:val="22"/>
                <w:szCs w:val="22"/>
                <w:lang w:eastAsia="pt-BR" w:bidi="ar-SA"/>
              </w:rPr>
              <w:t>–</w:t>
            </w:r>
            <w:r w:rsidRPr="00B32ABD">
              <w:rPr>
                <w:rFonts w:ascii="Times New Roman" w:eastAsia="Times New Roman" w:hAnsi="Times New Roman" w:cs="Times New Roman"/>
                <w:b/>
                <w:bCs/>
                <w:kern w:val="0"/>
                <w:sz w:val="22"/>
                <w:szCs w:val="22"/>
                <w:lang w:eastAsia="pt-BR" w:bidi="ar-SA"/>
              </w:rPr>
              <w:t xml:space="preserve"> </w:t>
            </w:r>
            <w:proofErr w:type="spellStart"/>
            <w:r w:rsidRPr="00B32ABD">
              <w:rPr>
                <w:rFonts w:ascii="Times New Roman" w:eastAsia="Times New Roman" w:hAnsi="Times New Roman" w:cs="Times New Roman"/>
                <w:b/>
                <w:bCs/>
                <w:kern w:val="0"/>
                <w:sz w:val="22"/>
                <w:szCs w:val="22"/>
                <w:lang w:eastAsia="pt-BR" w:bidi="ar-SA"/>
              </w:rPr>
              <w:t>CashETRc</w:t>
            </w:r>
            <w:proofErr w:type="spellEnd"/>
          </w:p>
        </w:tc>
      </w:tr>
      <w:tr w:rsidR="00F6132E" w:rsidRPr="00B32ABD" w14:paraId="3A323185" w14:textId="77777777" w:rsidTr="00CF5E21">
        <w:trPr>
          <w:trHeight w:val="561"/>
        </w:trPr>
        <w:tc>
          <w:tcPr>
            <w:tcW w:w="3261" w:type="dxa"/>
            <w:vMerge/>
            <w:tcBorders>
              <w:top w:val="single" w:sz="4" w:space="0" w:color="auto"/>
              <w:bottom w:val="single" w:sz="4" w:space="0" w:color="auto"/>
            </w:tcBorders>
            <w:shd w:val="clear" w:color="auto" w:fill="FFFFFF" w:themeFill="background1"/>
            <w:vAlign w:val="center"/>
            <w:hideMark/>
          </w:tcPr>
          <w:p w14:paraId="27E1F39F"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p>
        </w:tc>
        <w:tc>
          <w:tcPr>
            <w:tcW w:w="1377" w:type="dxa"/>
            <w:tcBorders>
              <w:top w:val="single" w:sz="4" w:space="0" w:color="auto"/>
              <w:bottom w:val="single" w:sz="4" w:space="0" w:color="auto"/>
            </w:tcBorders>
            <w:shd w:val="clear" w:color="auto" w:fill="FFFFFF" w:themeFill="background1"/>
            <w:noWrap/>
            <w:vAlign w:val="center"/>
            <w:hideMark/>
          </w:tcPr>
          <w:p w14:paraId="5A5F76BD" w14:textId="135DC0F0" w:rsidR="00895CCF" w:rsidRPr="00B32ABD" w:rsidRDefault="00895CCF"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Quinquênio</w:t>
            </w:r>
          </w:p>
          <w:p w14:paraId="224BD116" w14:textId="5C844BDE"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2010 a 2014</w:t>
            </w:r>
          </w:p>
        </w:tc>
        <w:tc>
          <w:tcPr>
            <w:tcW w:w="1525" w:type="dxa"/>
            <w:tcBorders>
              <w:top w:val="single" w:sz="4" w:space="0" w:color="auto"/>
              <w:bottom w:val="single" w:sz="4" w:space="0" w:color="auto"/>
            </w:tcBorders>
            <w:shd w:val="clear" w:color="auto" w:fill="FFFFFF" w:themeFill="background1"/>
            <w:noWrap/>
            <w:vAlign w:val="center"/>
            <w:hideMark/>
          </w:tcPr>
          <w:p w14:paraId="74071084" w14:textId="4E119C80" w:rsidR="00895CCF" w:rsidRPr="00B32ABD" w:rsidRDefault="00895CCF"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Quinquênio</w:t>
            </w:r>
          </w:p>
          <w:p w14:paraId="51A106EB" w14:textId="6ECAC57C"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2015 a 2019</w:t>
            </w:r>
          </w:p>
        </w:tc>
        <w:tc>
          <w:tcPr>
            <w:tcW w:w="1408" w:type="dxa"/>
            <w:tcBorders>
              <w:top w:val="single" w:sz="4" w:space="0" w:color="auto"/>
              <w:bottom w:val="single" w:sz="4" w:space="0" w:color="auto"/>
            </w:tcBorders>
            <w:shd w:val="clear" w:color="auto" w:fill="FFFFFF" w:themeFill="background1"/>
            <w:noWrap/>
            <w:vAlign w:val="center"/>
            <w:hideMark/>
          </w:tcPr>
          <w:p w14:paraId="7AFDDEAA" w14:textId="77777777" w:rsidR="00895CCF" w:rsidRPr="00B32ABD" w:rsidRDefault="00895CCF" w:rsidP="00895CCF">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Quinquênio</w:t>
            </w:r>
          </w:p>
          <w:p w14:paraId="29933B9E" w14:textId="78540BCD" w:rsidR="00F6132E" w:rsidRPr="00B32ABD" w:rsidRDefault="00895CCF" w:rsidP="00895CCF">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2010 a 2014</w:t>
            </w:r>
          </w:p>
        </w:tc>
        <w:tc>
          <w:tcPr>
            <w:tcW w:w="1500" w:type="dxa"/>
            <w:tcBorders>
              <w:top w:val="single" w:sz="4" w:space="0" w:color="auto"/>
              <w:bottom w:val="single" w:sz="4" w:space="0" w:color="auto"/>
            </w:tcBorders>
            <w:shd w:val="clear" w:color="auto" w:fill="FFFFFF" w:themeFill="background1"/>
            <w:noWrap/>
            <w:vAlign w:val="center"/>
            <w:hideMark/>
          </w:tcPr>
          <w:p w14:paraId="105F31FB" w14:textId="77777777" w:rsidR="00895CCF" w:rsidRPr="00B32ABD" w:rsidRDefault="00895CCF" w:rsidP="00895CCF">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Quinquênio</w:t>
            </w:r>
          </w:p>
          <w:p w14:paraId="1062D280" w14:textId="2F0D3005" w:rsidR="00F6132E" w:rsidRPr="00B32ABD" w:rsidRDefault="00895CCF" w:rsidP="00895CCF">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2015 a 2019</w:t>
            </w:r>
          </w:p>
        </w:tc>
      </w:tr>
      <w:tr w:rsidR="00F6132E" w:rsidRPr="00B32ABD" w14:paraId="4355FF17" w14:textId="77777777" w:rsidTr="00B32ABD">
        <w:trPr>
          <w:trHeight w:val="435"/>
        </w:trPr>
        <w:tc>
          <w:tcPr>
            <w:tcW w:w="3261" w:type="dxa"/>
            <w:tcBorders>
              <w:top w:val="single" w:sz="4" w:space="0" w:color="auto"/>
              <w:bottom w:val="single" w:sz="4" w:space="0" w:color="auto"/>
            </w:tcBorders>
            <w:shd w:val="clear" w:color="auto" w:fill="FFFFFF" w:themeFill="background1"/>
            <w:noWrap/>
            <w:vAlign w:val="bottom"/>
            <w:hideMark/>
          </w:tcPr>
          <w:p w14:paraId="3BF2D438" w14:textId="77777777" w:rsidR="00CF5E21"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Setor Não Financeiro</w:t>
            </w:r>
            <w:r w:rsidR="00E4524B" w:rsidRPr="00B32ABD">
              <w:rPr>
                <w:rFonts w:ascii="Times New Roman" w:eastAsia="Times New Roman" w:hAnsi="Times New Roman" w:cs="Times New Roman"/>
                <w:b/>
                <w:bCs/>
                <w:kern w:val="0"/>
                <w:sz w:val="22"/>
                <w:szCs w:val="22"/>
                <w:lang w:eastAsia="pt-BR" w:bidi="ar-SA"/>
              </w:rPr>
              <w:t xml:space="preserve"> </w:t>
            </w:r>
          </w:p>
          <w:p w14:paraId="32A29DEC" w14:textId="184F7972" w:rsidR="00F6132E" w:rsidRPr="00B32ABD" w:rsidRDefault="00E4524B"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(187 Companhias)</w:t>
            </w:r>
          </w:p>
        </w:tc>
        <w:tc>
          <w:tcPr>
            <w:tcW w:w="1377" w:type="dxa"/>
            <w:tcBorders>
              <w:top w:val="single" w:sz="4" w:space="0" w:color="auto"/>
              <w:bottom w:val="single" w:sz="4" w:space="0" w:color="auto"/>
            </w:tcBorders>
            <w:shd w:val="clear" w:color="auto" w:fill="FFFFFF" w:themeFill="background1"/>
            <w:noWrap/>
            <w:vAlign w:val="bottom"/>
            <w:hideMark/>
          </w:tcPr>
          <w:p w14:paraId="23914213"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26,7%</w:t>
            </w:r>
          </w:p>
        </w:tc>
        <w:tc>
          <w:tcPr>
            <w:tcW w:w="1525" w:type="dxa"/>
            <w:tcBorders>
              <w:top w:val="single" w:sz="4" w:space="0" w:color="auto"/>
              <w:bottom w:val="single" w:sz="4" w:space="0" w:color="auto"/>
            </w:tcBorders>
            <w:shd w:val="clear" w:color="auto" w:fill="FFFFFF" w:themeFill="background1"/>
            <w:noWrap/>
            <w:vAlign w:val="bottom"/>
            <w:hideMark/>
          </w:tcPr>
          <w:p w14:paraId="16A0967E"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26,6%</w:t>
            </w:r>
          </w:p>
        </w:tc>
        <w:tc>
          <w:tcPr>
            <w:tcW w:w="1408" w:type="dxa"/>
            <w:tcBorders>
              <w:top w:val="single" w:sz="4" w:space="0" w:color="auto"/>
              <w:bottom w:val="single" w:sz="4" w:space="0" w:color="auto"/>
            </w:tcBorders>
            <w:shd w:val="clear" w:color="auto" w:fill="FFFFFF" w:themeFill="background1"/>
            <w:noWrap/>
            <w:vAlign w:val="bottom"/>
            <w:hideMark/>
          </w:tcPr>
          <w:p w14:paraId="29BA0D1B"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23,3%</w:t>
            </w:r>
          </w:p>
        </w:tc>
        <w:tc>
          <w:tcPr>
            <w:tcW w:w="1500" w:type="dxa"/>
            <w:tcBorders>
              <w:top w:val="single" w:sz="4" w:space="0" w:color="auto"/>
              <w:bottom w:val="single" w:sz="4" w:space="0" w:color="auto"/>
            </w:tcBorders>
            <w:shd w:val="clear" w:color="auto" w:fill="FFFFFF" w:themeFill="background1"/>
            <w:noWrap/>
            <w:vAlign w:val="bottom"/>
            <w:hideMark/>
          </w:tcPr>
          <w:p w14:paraId="61959A86"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23,7%</w:t>
            </w:r>
          </w:p>
        </w:tc>
      </w:tr>
      <w:tr w:rsidR="00F6132E" w:rsidRPr="00B32ABD" w14:paraId="4FCD4441" w14:textId="77777777" w:rsidTr="00B32ABD">
        <w:trPr>
          <w:trHeight w:val="427"/>
        </w:trPr>
        <w:tc>
          <w:tcPr>
            <w:tcW w:w="3261" w:type="dxa"/>
            <w:tcBorders>
              <w:top w:val="single" w:sz="4" w:space="0" w:color="auto"/>
              <w:bottom w:val="single" w:sz="4" w:space="0" w:color="auto"/>
            </w:tcBorders>
            <w:shd w:val="clear" w:color="auto" w:fill="FFFFFF" w:themeFill="background1"/>
            <w:noWrap/>
            <w:vAlign w:val="bottom"/>
            <w:hideMark/>
          </w:tcPr>
          <w:p w14:paraId="70E2E205" w14:textId="77777777" w:rsidR="00CF5E21"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Comércio</w:t>
            </w:r>
          </w:p>
          <w:p w14:paraId="5527EB39" w14:textId="04C767B9" w:rsidR="00F6132E" w:rsidRPr="00B32ABD" w:rsidRDefault="00E4524B"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(17 Companhias)</w:t>
            </w:r>
          </w:p>
        </w:tc>
        <w:tc>
          <w:tcPr>
            <w:tcW w:w="1377" w:type="dxa"/>
            <w:tcBorders>
              <w:top w:val="single" w:sz="4" w:space="0" w:color="auto"/>
              <w:bottom w:val="single" w:sz="4" w:space="0" w:color="auto"/>
            </w:tcBorders>
            <w:shd w:val="clear" w:color="auto" w:fill="FFFFFF" w:themeFill="background1"/>
            <w:noWrap/>
            <w:vAlign w:val="bottom"/>
            <w:hideMark/>
          </w:tcPr>
          <w:p w14:paraId="7777C9B0"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28,1%</w:t>
            </w:r>
          </w:p>
        </w:tc>
        <w:tc>
          <w:tcPr>
            <w:tcW w:w="1525" w:type="dxa"/>
            <w:tcBorders>
              <w:top w:val="single" w:sz="4" w:space="0" w:color="auto"/>
              <w:bottom w:val="single" w:sz="4" w:space="0" w:color="auto"/>
            </w:tcBorders>
            <w:shd w:val="clear" w:color="auto" w:fill="FFFFFF" w:themeFill="background1"/>
            <w:noWrap/>
            <w:vAlign w:val="bottom"/>
            <w:hideMark/>
          </w:tcPr>
          <w:p w14:paraId="498158ED"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23,6%</w:t>
            </w:r>
          </w:p>
        </w:tc>
        <w:tc>
          <w:tcPr>
            <w:tcW w:w="1408" w:type="dxa"/>
            <w:tcBorders>
              <w:top w:val="single" w:sz="4" w:space="0" w:color="auto"/>
              <w:bottom w:val="single" w:sz="4" w:space="0" w:color="auto"/>
            </w:tcBorders>
            <w:shd w:val="clear" w:color="auto" w:fill="FFFFFF" w:themeFill="background1"/>
            <w:noWrap/>
            <w:vAlign w:val="bottom"/>
            <w:hideMark/>
          </w:tcPr>
          <w:p w14:paraId="023D5CD6"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29,1%</w:t>
            </w:r>
          </w:p>
        </w:tc>
        <w:tc>
          <w:tcPr>
            <w:tcW w:w="1500" w:type="dxa"/>
            <w:tcBorders>
              <w:top w:val="single" w:sz="4" w:space="0" w:color="auto"/>
              <w:bottom w:val="single" w:sz="4" w:space="0" w:color="auto"/>
            </w:tcBorders>
            <w:shd w:val="clear" w:color="auto" w:fill="FFFFFF" w:themeFill="background1"/>
            <w:noWrap/>
            <w:vAlign w:val="bottom"/>
            <w:hideMark/>
          </w:tcPr>
          <w:p w14:paraId="071F1DF7"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29,0%</w:t>
            </w:r>
          </w:p>
        </w:tc>
      </w:tr>
      <w:tr w:rsidR="00F6132E" w:rsidRPr="00B32ABD" w14:paraId="500C08E9" w14:textId="77777777" w:rsidTr="00B32ABD">
        <w:trPr>
          <w:trHeight w:val="405"/>
        </w:trPr>
        <w:tc>
          <w:tcPr>
            <w:tcW w:w="3261" w:type="dxa"/>
            <w:tcBorders>
              <w:top w:val="single" w:sz="4" w:space="0" w:color="auto"/>
              <w:bottom w:val="single" w:sz="4" w:space="0" w:color="auto"/>
            </w:tcBorders>
            <w:shd w:val="clear" w:color="auto" w:fill="FFFFFF" w:themeFill="background1"/>
            <w:noWrap/>
            <w:vAlign w:val="bottom"/>
            <w:hideMark/>
          </w:tcPr>
          <w:p w14:paraId="39B22D30" w14:textId="77777777" w:rsidR="00CF5E21"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b/>
                <w:bCs/>
                <w:kern w:val="0"/>
                <w:sz w:val="22"/>
                <w:szCs w:val="22"/>
                <w:lang w:eastAsia="pt-BR" w:bidi="ar-SA"/>
              </w:rPr>
              <w:t>Indústria</w:t>
            </w:r>
            <w:r w:rsidR="00E4524B" w:rsidRPr="00B32ABD">
              <w:rPr>
                <w:rFonts w:ascii="Times New Roman" w:eastAsia="Times New Roman" w:hAnsi="Times New Roman" w:cs="Times New Roman"/>
                <w:kern w:val="0"/>
                <w:sz w:val="22"/>
                <w:szCs w:val="22"/>
                <w:lang w:eastAsia="pt-BR" w:bidi="ar-SA"/>
              </w:rPr>
              <w:t xml:space="preserve"> </w:t>
            </w:r>
          </w:p>
          <w:p w14:paraId="10C052F0" w14:textId="4B05D466" w:rsidR="00F6132E" w:rsidRPr="00B32ABD" w:rsidRDefault="00E4524B"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(75 Companhias)</w:t>
            </w:r>
          </w:p>
        </w:tc>
        <w:tc>
          <w:tcPr>
            <w:tcW w:w="1377" w:type="dxa"/>
            <w:tcBorders>
              <w:top w:val="single" w:sz="4" w:space="0" w:color="auto"/>
              <w:bottom w:val="single" w:sz="4" w:space="0" w:color="auto"/>
            </w:tcBorders>
            <w:shd w:val="clear" w:color="auto" w:fill="FFFFFF" w:themeFill="background1"/>
            <w:noWrap/>
            <w:vAlign w:val="bottom"/>
            <w:hideMark/>
          </w:tcPr>
          <w:p w14:paraId="3D3A89DE"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23,1%</w:t>
            </w:r>
          </w:p>
        </w:tc>
        <w:tc>
          <w:tcPr>
            <w:tcW w:w="1525" w:type="dxa"/>
            <w:tcBorders>
              <w:top w:val="single" w:sz="4" w:space="0" w:color="auto"/>
              <w:bottom w:val="single" w:sz="4" w:space="0" w:color="auto"/>
            </w:tcBorders>
            <w:shd w:val="clear" w:color="auto" w:fill="FFFFFF" w:themeFill="background1"/>
            <w:noWrap/>
            <w:vAlign w:val="bottom"/>
            <w:hideMark/>
          </w:tcPr>
          <w:p w14:paraId="09C7EAD6"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23,1%</w:t>
            </w:r>
          </w:p>
        </w:tc>
        <w:tc>
          <w:tcPr>
            <w:tcW w:w="1408" w:type="dxa"/>
            <w:tcBorders>
              <w:top w:val="single" w:sz="4" w:space="0" w:color="auto"/>
              <w:bottom w:val="single" w:sz="4" w:space="0" w:color="auto"/>
            </w:tcBorders>
            <w:shd w:val="clear" w:color="auto" w:fill="FFFFFF" w:themeFill="background1"/>
            <w:noWrap/>
            <w:vAlign w:val="bottom"/>
            <w:hideMark/>
          </w:tcPr>
          <w:p w14:paraId="5588B768"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18,9%</w:t>
            </w:r>
          </w:p>
        </w:tc>
        <w:tc>
          <w:tcPr>
            <w:tcW w:w="1500" w:type="dxa"/>
            <w:tcBorders>
              <w:top w:val="single" w:sz="4" w:space="0" w:color="auto"/>
              <w:bottom w:val="single" w:sz="4" w:space="0" w:color="auto"/>
            </w:tcBorders>
            <w:shd w:val="clear" w:color="auto" w:fill="FFFFFF" w:themeFill="background1"/>
            <w:noWrap/>
            <w:vAlign w:val="bottom"/>
            <w:hideMark/>
          </w:tcPr>
          <w:p w14:paraId="78F0FC4D"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21,1%</w:t>
            </w:r>
          </w:p>
        </w:tc>
      </w:tr>
      <w:tr w:rsidR="00F6132E" w:rsidRPr="00B32ABD" w14:paraId="2E730D85" w14:textId="77777777" w:rsidTr="00B32ABD">
        <w:trPr>
          <w:trHeight w:val="425"/>
        </w:trPr>
        <w:tc>
          <w:tcPr>
            <w:tcW w:w="3261" w:type="dxa"/>
            <w:tcBorders>
              <w:top w:val="single" w:sz="4" w:space="0" w:color="auto"/>
              <w:bottom w:val="single" w:sz="4" w:space="0" w:color="auto"/>
            </w:tcBorders>
            <w:shd w:val="clear" w:color="auto" w:fill="FFFFFF" w:themeFill="background1"/>
            <w:noWrap/>
            <w:vAlign w:val="bottom"/>
            <w:hideMark/>
          </w:tcPr>
          <w:p w14:paraId="5661E67D" w14:textId="77777777" w:rsidR="00CF5E21"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Serviços</w:t>
            </w:r>
            <w:r w:rsidR="00E4524B" w:rsidRPr="00B32ABD">
              <w:rPr>
                <w:rFonts w:ascii="Times New Roman" w:eastAsia="Times New Roman" w:hAnsi="Times New Roman" w:cs="Times New Roman"/>
                <w:b/>
                <w:bCs/>
                <w:kern w:val="0"/>
                <w:sz w:val="22"/>
                <w:szCs w:val="22"/>
                <w:lang w:eastAsia="pt-BR" w:bidi="ar-SA"/>
              </w:rPr>
              <w:t xml:space="preserve"> </w:t>
            </w:r>
          </w:p>
          <w:p w14:paraId="78BEC50F" w14:textId="037C6601" w:rsidR="00F6132E" w:rsidRPr="00B32ABD" w:rsidRDefault="00E4524B"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(88 Companhias)</w:t>
            </w:r>
          </w:p>
        </w:tc>
        <w:tc>
          <w:tcPr>
            <w:tcW w:w="1377" w:type="dxa"/>
            <w:tcBorders>
              <w:top w:val="single" w:sz="4" w:space="0" w:color="auto"/>
              <w:bottom w:val="single" w:sz="4" w:space="0" w:color="auto"/>
            </w:tcBorders>
            <w:shd w:val="clear" w:color="auto" w:fill="FFFFFF" w:themeFill="background1"/>
            <w:noWrap/>
            <w:vAlign w:val="bottom"/>
            <w:hideMark/>
          </w:tcPr>
          <w:p w14:paraId="499AB84D"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29,1%</w:t>
            </w:r>
          </w:p>
        </w:tc>
        <w:tc>
          <w:tcPr>
            <w:tcW w:w="1525" w:type="dxa"/>
            <w:tcBorders>
              <w:top w:val="single" w:sz="4" w:space="0" w:color="auto"/>
              <w:bottom w:val="single" w:sz="4" w:space="0" w:color="auto"/>
            </w:tcBorders>
            <w:shd w:val="clear" w:color="auto" w:fill="FFFFFF" w:themeFill="background1"/>
            <w:noWrap/>
            <w:vAlign w:val="bottom"/>
            <w:hideMark/>
          </w:tcPr>
          <w:p w14:paraId="4F9D3285"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29,5%</w:t>
            </w:r>
          </w:p>
        </w:tc>
        <w:tc>
          <w:tcPr>
            <w:tcW w:w="1408" w:type="dxa"/>
            <w:tcBorders>
              <w:top w:val="single" w:sz="4" w:space="0" w:color="auto"/>
              <w:bottom w:val="single" w:sz="4" w:space="0" w:color="auto"/>
            </w:tcBorders>
            <w:shd w:val="clear" w:color="auto" w:fill="FFFFFF" w:themeFill="background1"/>
            <w:noWrap/>
            <w:vAlign w:val="bottom"/>
            <w:hideMark/>
          </w:tcPr>
          <w:p w14:paraId="5CA7FC45"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25,8%</w:t>
            </w:r>
          </w:p>
        </w:tc>
        <w:tc>
          <w:tcPr>
            <w:tcW w:w="1500" w:type="dxa"/>
            <w:tcBorders>
              <w:top w:val="single" w:sz="4" w:space="0" w:color="auto"/>
              <w:bottom w:val="single" w:sz="4" w:space="0" w:color="auto"/>
            </w:tcBorders>
            <w:shd w:val="clear" w:color="auto" w:fill="FFFFFF" w:themeFill="background1"/>
            <w:noWrap/>
            <w:vAlign w:val="bottom"/>
            <w:hideMark/>
          </w:tcPr>
          <w:p w14:paraId="3385C8BF"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26,2%</w:t>
            </w:r>
          </w:p>
        </w:tc>
      </w:tr>
      <w:tr w:rsidR="00F6132E" w:rsidRPr="00B32ABD" w14:paraId="3727682E" w14:textId="77777777" w:rsidTr="00CF5E21">
        <w:trPr>
          <w:trHeight w:val="545"/>
        </w:trPr>
        <w:tc>
          <w:tcPr>
            <w:tcW w:w="3261" w:type="dxa"/>
            <w:tcBorders>
              <w:top w:val="single" w:sz="4" w:space="0" w:color="auto"/>
              <w:bottom w:val="single" w:sz="4" w:space="0" w:color="auto"/>
            </w:tcBorders>
            <w:shd w:val="clear" w:color="auto" w:fill="FFFFFF" w:themeFill="background1"/>
            <w:noWrap/>
            <w:vAlign w:val="bottom"/>
            <w:hideMark/>
          </w:tcPr>
          <w:p w14:paraId="1E69786C" w14:textId="77777777" w:rsidR="00CF5E21"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b/>
                <w:bCs/>
                <w:kern w:val="0"/>
                <w:sz w:val="22"/>
                <w:szCs w:val="22"/>
                <w:lang w:eastAsia="pt-BR" w:bidi="ar-SA"/>
              </w:rPr>
              <w:t>Exploração de Imóveis</w:t>
            </w:r>
            <w:r w:rsidR="00E4524B" w:rsidRPr="00B32ABD">
              <w:rPr>
                <w:rFonts w:ascii="Times New Roman" w:eastAsia="Times New Roman" w:hAnsi="Times New Roman" w:cs="Times New Roman"/>
                <w:kern w:val="0"/>
                <w:sz w:val="22"/>
                <w:szCs w:val="22"/>
                <w:lang w:eastAsia="pt-BR" w:bidi="ar-SA"/>
              </w:rPr>
              <w:t xml:space="preserve"> </w:t>
            </w:r>
          </w:p>
          <w:p w14:paraId="0EDA81C2" w14:textId="6DC44A76" w:rsidR="00F6132E" w:rsidRPr="00B32ABD" w:rsidRDefault="00E4524B"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(7 Companhias)</w:t>
            </w:r>
          </w:p>
        </w:tc>
        <w:tc>
          <w:tcPr>
            <w:tcW w:w="1377" w:type="dxa"/>
            <w:tcBorders>
              <w:top w:val="single" w:sz="4" w:space="0" w:color="auto"/>
              <w:bottom w:val="single" w:sz="4" w:space="0" w:color="auto"/>
            </w:tcBorders>
            <w:shd w:val="clear" w:color="auto" w:fill="FFFFFF" w:themeFill="background1"/>
            <w:noWrap/>
            <w:vAlign w:val="bottom"/>
            <w:hideMark/>
          </w:tcPr>
          <w:p w14:paraId="6FB0AC2A"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22,9%</w:t>
            </w:r>
          </w:p>
        </w:tc>
        <w:tc>
          <w:tcPr>
            <w:tcW w:w="1525" w:type="dxa"/>
            <w:tcBorders>
              <w:top w:val="single" w:sz="4" w:space="0" w:color="auto"/>
              <w:bottom w:val="single" w:sz="4" w:space="0" w:color="auto"/>
            </w:tcBorders>
            <w:shd w:val="clear" w:color="auto" w:fill="FFFFFF" w:themeFill="background1"/>
            <w:noWrap/>
            <w:vAlign w:val="bottom"/>
            <w:hideMark/>
          </w:tcPr>
          <w:p w14:paraId="67C9CC67"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27,7%</w:t>
            </w:r>
          </w:p>
        </w:tc>
        <w:tc>
          <w:tcPr>
            <w:tcW w:w="1408" w:type="dxa"/>
            <w:tcBorders>
              <w:top w:val="single" w:sz="4" w:space="0" w:color="auto"/>
              <w:bottom w:val="single" w:sz="4" w:space="0" w:color="auto"/>
            </w:tcBorders>
            <w:shd w:val="clear" w:color="auto" w:fill="FFFFFF" w:themeFill="background1"/>
            <w:noWrap/>
            <w:vAlign w:val="bottom"/>
            <w:hideMark/>
          </w:tcPr>
          <w:p w14:paraId="43B38314"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13,3%</w:t>
            </w:r>
          </w:p>
        </w:tc>
        <w:tc>
          <w:tcPr>
            <w:tcW w:w="1500" w:type="dxa"/>
            <w:tcBorders>
              <w:top w:val="single" w:sz="4" w:space="0" w:color="auto"/>
              <w:bottom w:val="single" w:sz="4" w:space="0" w:color="auto"/>
            </w:tcBorders>
            <w:shd w:val="clear" w:color="auto" w:fill="FFFFFF" w:themeFill="background1"/>
            <w:noWrap/>
            <w:vAlign w:val="bottom"/>
            <w:hideMark/>
          </w:tcPr>
          <w:p w14:paraId="58B8732D"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18,0%</w:t>
            </w:r>
          </w:p>
        </w:tc>
      </w:tr>
      <w:tr w:rsidR="00F6132E" w:rsidRPr="00B32ABD" w14:paraId="74F8B6AB" w14:textId="77777777" w:rsidTr="00B32ABD">
        <w:trPr>
          <w:trHeight w:val="409"/>
        </w:trPr>
        <w:tc>
          <w:tcPr>
            <w:tcW w:w="3261" w:type="dxa"/>
            <w:tcBorders>
              <w:top w:val="single" w:sz="4" w:space="0" w:color="auto"/>
              <w:bottom w:val="single" w:sz="4" w:space="0" w:color="auto"/>
            </w:tcBorders>
            <w:shd w:val="clear" w:color="auto" w:fill="FFFFFF" w:themeFill="background1"/>
            <w:noWrap/>
            <w:vAlign w:val="bottom"/>
            <w:hideMark/>
          </w:tcPr>
          <w:p w14:paraId="5C52DDA6" w14:textId="77777777" w:rsidR="00CF5E21"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b/>
                <w:bCs/>
                <w:kern w:val="0"/>
                <w:sz w:val="22"/>
                <w:szCs w:val="22"/>
                <w:lang w:eastAsia="pt-BR" w:bidi="ar-SA"/>
              </w:rPr>
              <w:t>Setor Financeiro</w:t>
            </w:r>
            <w:r w:rsidR="00476EDF" w:rsidRPr="00B32ABD">
              <w:rPr>
                <w:rFonts w:ascii="Times New Roman" w:eastAsia="Times New Roman" w:hAnsi="Times New Roman" w:cs="Times New Roman"/>
                <w:kern w:val="0"/>
                <w:sz w:val="22"/>
                <w:szCs w:val="22"/>
                <w:lang w:eastAsia="pt-BR" w:bidi="ar-SA"/>
              </w:rPr>
              <w:t xml:space="preserve"> </w:t>
            </w:r>
          </w:p>
          <w:p w14:paraId="7DD47696" w14:textId="04D4371C" w:rsidR="00F6132E" w:rsidRPr="00B32ABD" w:rsidRDefault="00476EDF"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kern w:val="0"/>
                <w:sz w:val="22"/>
                <w:szCs w:val="22"/>
                <w:lang w:eastAsia="pt-BR" w:bidi="ar-SA"/>
              </w:rPr>
              <w:t>(20 companhias)</w:t>
            </w:r>
          </w:p>
        </w:tc>
        <w:tc>
          <w:tcPr>
            <w:tcW w:w="1377" w:type="dxa"/>
            <w:tcBorders>
              <w:top w:val="single" w:sz="4" w:space="0" w:color="auto"/>
              <w:bottom w:val="single" w:sz="4" w:space="0" w:color="auto"/>
            </w:tcBorders>
            <w:shd w:val="clear" w:color="auto" w:fill="FFFFFF" w:themeFill="background1"/>
            <w:noWrap/>
            <w:vAlign w:val="bottom"/>
            <w:hideMark/>
          </w:tcPr>
          <w:p w14:paraId="5AD65C71"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29,6%</w:t>
            </w:r>
          </w:p>
        </w:tc>
        <w:tc>
          <w:tcPr>
            <w:tcW w:w="1525" w:type="dxa"/>
            <w:tcBorders>
              <w:top w:val="single" w:sz="4" w:space="0" w:color="auto"/>
              <w:bottom w:val="single" w:sz="4" w:space="0" w:color="auto"/>
            </w:tcBorders>
            <w:shd w:val="clear" w:color="auto" w:fill="FFFFFF" w:themeFill="background1"/>
            <w:noWrap/>
            <w:vAlign w:val="bottom"/>
            <w:hideMark/>
          </w:tcPr>
          <w:p w14:paraId="6CA52FF1"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26,4%</w:t>
            </w:r>
          </w:p>
        </w:tc>
        <w:tc>
          <w:tcPr>
            <w:tcW w:w="1408" w:type="dxa"/>
            <w:tcBorders>
              <w:top w:val="single" w:sz="4" w:space="0" w:color="auto"/>
              <w:bottom w:val="single" w:sz="4" w:space="0" w:color="auto"/>
            </w:tcBorders>
            <w:shd w:val="clear" w:color="auto" w:fill="FFFFFF" w:themeFill="background1"/>
            <w:noWrap/>
            <w:vAlign w:val="bottom"/>
            <w:hideMark/>
          </w:tcPr>
          <w:p w14:paraId="182D290A"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36,2%</w:t>
            </w:r>
          </w:p>
        </w:tc>
        <w:tc>
          <w:tcPr>
            <w:tcW w:w="1500" w:type="dxa"/>
            <w:tcBorders>
              <w:top w:val="single" w:sz="4" w:space="0" w:color="auto"/>
              <w:bottom w:val="single" w:sz="4" w:space="0" w:color="auto"/>
            </w:tcBorders>
            <w:shd w:val="clear" w:color="auto" w:fill="FFFFFF" w:themeFill="background1"/>
            <w:noWrap/>
            <w:vAlign w:val="bottom"/>
            <w:hideMark/>
          </w:tcPr>
          <w:p w14:paraId="178C1B1C" w14:textId="77777777" w:rsidR="00F6132E" w:rsidRPr="00B32ABD" w:rsidRDefault="00F6132E" w:rsidP="00F6132E">
            <w:pPr>
              <w:suppressAutoHyphens w:val="0"/>
              <w:jc w:val="right"/>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31,4%</w:t>
            </w:r>
          </w:p>
        </w:tc>
      </w:tr>
      <w:tr w:rsidR="00F6132E" w:rsidRPr="00B32ABD" w14:paraId="4EF587DE" w14:textId="77777777" w:rsidTr="00B32ABD">
        <w:trPr>
          <w:trHeight w:val="415"/>
        </w:trPr>
        <w:tc>
          <w:tcPr>
            <w:tcW w:w="3261" w:type="dxa"/>
            <w:tcBorders>
              <w:top w:val="single" w:sz="4" w:space="0" w:color="auto"/>
              <w:bottom w:val="single" w:sz="4" w:space="0" w:color="auto"/>
            </w:tcBorders>
            <w:shd w:val="clear" w:color="auto" w:fill="FFFFFF" w:themeFill="background1"/>
            <w:noWrap/>
            <w:vAlign w:val="bottom"/>
            <w:hideMark/>
          </w:tcPr>
          <w:p w14:paraId="219AF196" w14:textId="77777777" w:rsidR="00CF5E21"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Bancos</w:t>
            </w:r>
            <w:r w:rsidR="00476EDF" w:rsidRPr="00B32ABD">
              <w:rPr>
                <w:rFonts w:ascii="Times New Roman" w:eastAsia="Times New Roman" w:hAnsi="Times New Roman" w:cs="Times New Roman"/>
                <w:b/>
                <w:bCs/>
                <w:kern w:val="0"/>
                <w:sz w:val="22"/>
                <w:szCs w:val="22"/>
                <w:lang w:eastAsia="pt-BR" w:bidi="ar-SA"/>
              </w:rPr>
              <w:t xml:space="preserve"> </w:t>
            </w:r>
          </w:p>
          <w:p w14:paraId="0484B27D" w14:textId="720E1726" w:rsidR="00F6132E" w:rsidRPr="00B32ABD" w:rsidRDefault="00476EDF"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(12 Companhias)</w:t>
            </w:r>
          </w:p>
        </w:tc>
        <w:tc>
          <w:tcPr>
            <w:tcW w:w="1377" w:type="dxa"/>
            <w:tcBorders>
              <w:top w:val="single" w:sz="4" w:space="0" w:color="auto"/>
              <w:bottom w:val="single" w:sz="4" w:space="0" w:color="auto"/>
            </w:tcBorders>
            <w:shd w:val="clear" w:color="auto" w:fill="FFFFFF" w:themeFill="background1"/>
            <w:noWrap/>
            <w:vAlign w:val="center"/>
            <w:hideMark/>
          </w:tcPr>
          <w:p w14:paraId="71C01C54"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25,0%</w:t>
            </w:r>
          </w:p>
        </w:tc>
        <w:tc>
          <w:tcPr>
            <w:tcW w:w="1525" w:type="dxa"/>
            <w:tcBorders>
              <w:top w:val="single" w:sz="4" w:space="0" w:color="auto"/>
              <w:bottom w:val="single" w:sz="4" w:space="0" w:color="auto"/>
            </w:tcBorders>
            <w:shd w:val="clear" w:color="auto" w:fill="FFFFFF" w:themeFill="background1"/>
            <w:noWrap/>
            <w:vAlign w:val="center"/>
            <w:hideMark/>
          </w:tcPr>
          <w:p w14:paraId="720BC82F"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23,8%</w:t>
            </w:r>
          </w:p>
        </w:tc>
        <w:tc>
          <w:tcPr>
            <w:tcW w:w="1408" w:type="dxa"/>
            <w:tcBorders>
              <w:top w:val="single" w:sz="4" w:space="0" w:color="auto"/>
              <w:bottom w:val="single" w:sz="4" w:space="0" w:color="auto"/>
            </w:tcBorders>
            <w:shd w:val="clear" w:color="auto" w:fill="FFFFFF" w:themeFill="background1"/>
            <w:noWrap/>
            <w:vAlign w:val="center"/>
            <w:hideMark/>
          </w:tcPr>
          <w:p w14:paraId="490BB513"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36,2%</w:t>
            </w:r>
          </w:p>
        </w:tc>
        <w:tc>
          <w:tcPr>
            <w:tcW w:w="1500" w:type="dxa"/>
            <w:tcBorders>
              <w:top w:val="single" w:sz="4" w:space="0" w:color="auto"/>
              <w:bottom w:val="single" w:sz="4" w:space="0" w:color="auto"/>
            </w:tcBorders>
            <w:shd w:val="clear" w:color="auto" w:fill="FFFFFF" w:themeFill="background1"/>
            <w:noWrap/>
            <w:vAlign w:val="center"/>
            <w:hideMark/>
          </w:tcPr>
          <w:p w14:paraId="612E796F"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30,4%</w:t>
            </w:r>
          </w:p>
        </w:tc>
      </w:tr>
      <w:tr w:rsidR="00F6132E" w:rsidRPr="00B32ABD" w14:paraId="3E1EA426" w14:textId="77777777" w:rsidTr="00B32ABD">
        <w:trPr>
          <w:trHeight w:val="422"/>
        </w:trPr>
        <w:tc>
          <w:tcPr>
            <w:tcW w:w="3261" w:type="dxa"/>
            <w:tcBorders>
              <w:top w:val="single" w:sz="4" w:space="0" w:color="auto"/>
              <w:bottom w:val="single" w:sz="4" w:space="0" w:color="auto"/>
            </w:tcBorders>
            <w:shd w:val="clear" w:color="auto" w:fill="FFFFFF" w:themeFill="background1"/>
            <w:noWrap/>
            <w:vAlign w:val="bottom"/>
            <w:hideMark/>
          </w:tcPr>
          <w:p w14:paraId="4701B955" w14:textId="77777777" w:rsidR="00CF5E21"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b/>
                <w:bCs/>
                <w:kern w:val="0"/>
                <w:sz w:val="22"/>
                <w:szCs w:val="22"/>
                <w:lang w:eastAsia="pt-BR" w:bidi="ar-SA"/>
              </w:rPr>
              <w:t>Outr</w:t>
            </w:r>
            <w:r w:rsidR="00476EDF" w:rsidRPr="00B32ABD">
              <w:rPr>
                <w:rFonts w:ascii="Times New Roman" w:eastAsia="Times New Roman" w:hAnsi="Times New Roman" w:cs="Times New Roman"/>
                <w:b/>
                <w:bCs/>
                <w:kern w:val="0"/>
                <w:sz w:val="22"/>
                <w:szCs w:val="22"/>
                <w:lang w:eastAsia="pt-BR" w:bidi="ar-SA"/>
              </w:rPr>
              <w:t>as</w:t>
            </w:r>
            <w:r w:rsidR="00E4524B" w:rsidRPr="00B32ABD">
              <w:rPr>
                <w:rFonts w:ascii="Times New Roman" w:eastAsia="Times New Roman" w:hAnsi="Times New Roman" w:cs="Times New Roman"/>
                <w:kern w:val="0"/>
                <w:sz w:val="22"/>
                <w:szCs w:val="22"/>
                <w:lang w:eastAsia="pt-BR" w:bidi="ar-SA"/>
              </w:rPr>
              <w:t xml:space="preserve"> </w:t>
            </w:r>
          </w:p>
          <w:p w14:paraId="3C6A22BF" w14:textId="5032C6CE" w:rsidR="00F6132E" w:rsidRPr="00B32ABD" w:rsidRDefault="00476EDF"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(8 Companhias)</w:t>
            </w:r>
          </w:p>
        </w:tc>
        <w:tc>
          <w:tcPr>
            <w:tcW w:w="1377" w:type="dxa"/>
            <w:tcBorders>
              <w:top w:val="single" w:sz="4" w:space="0" w:color="auto"/>
              <w:bottom w:val="single" w:sz="4" w:space="0" w:color="auto"/>
            </w:tcBorders>
            <w:shd w:val="clear" w:color="auto" w:fill="FFFFFF" w:themeFill="background1"/>
            <w:noWrap/>
            <w:vAlign w:val="bottom"/>
            <w:hideMark/>
          </w:tcPr>
          <w:p w14:paraId="4EC3BDB9"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34,0%</w:t>
            </w:r>
          </w:p>
        </w:tc>
        <w:tc>
          <w:tcPr>
            <w:tcW w:w="1525" w:type="dxa"/>
            <w:tcBorders>
              <w:top w:val="single" w:sz="4" w:space="0" w:color="auto"/>
              <w:bottom w:val="single" w:sz="4" w:space="0" w:color="auto"/>
            </w:tcBorders>
            <w:shd w:val="clear" w:color="auto" w:fill="FFFFFF" w:themeFill="background1"/>
            <w:noWrap/>
            <w:vAlign w:val="bottom"/>
            <w:hideMark/>
          </w:tcPr>
          <w:p w14:paraId="46522EDC"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30,3%</w:t>
            </w:r>
          </w:p>
        </w:tc>
        <w:tc>
          <w:tcPr>
            <w:tcW w:w="1408" w:type="dxa"/>
            <w:tcBorders>
              <w:top w:val="single" w:sz="4" w:space="0" w:color="auto"/>
              <w:bottom w:val="single" w:sz="4" w:space="0" w:color="auto"/>
            </w:tcBorders>
            <w:shd w:val="clear" w:color="auto" w:fill="FFFFFF" w:themeFill="background1"/>
            <w:noWrap/>
            <w:vAlign w:val="bottom"/>
            <w:hideMark/>
          </w:tcPr>
          <w:p w14:paraId="59DC80CB"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34,6%</w:t>
            </w:r>
          </w:p>
        </w:tc>
        <w:tc>
          <w:tcPr>
            <w:tcW w:w="1500" w:type="dxa"/>
            <w:tcBorders>
              <w:top w:val="single" w:sz="4" w:space="0" w:color="auto"/>
              <w:bottom w:val="single" w:sz="4" w:space="0" w:color="auto"/>
            </w:tcBorders>
            <w:shd w:val="clear" w:color="auto" w:fill="FFFFFF" w:themeFill="background1"/>
            <w:noWrap/>
            <w:vAlign w:val="bottom"/>
            <w:hideMark/>
          </w:tcPr>
          <w:p w14:paraId="7B45C189"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31,5%</w:t>
            </w:r>
          </w:p>
        </w:tc>
      </w:tr>
    </w:tbl>
    <w:p w14:paraId="3388CEA8" w14:textId="14E8A41B" w:rsidR="00003277" w:rsidRPr="00B32ABD" w:rsidRDefault="0002354A" w:rsidP="0002354A">
      <w:pPr>
        <w:pStyle w:val="Corpodetexto"/>
        <w:spacing w:after="120" w:line="240" w:lineRule="auto"/>
        <w:jc w:val="both"/>
        <w:rPr>
          <w:rFonts w:ascii="Times New Roman" w:hAnsi="Times New Roman" w:cs="Times New Roman"/>
          <w:sz w:val="22"/>
          <w:szCs w:val="22"/>
        </w:rPr>
      </w:pPr>
      <w:r w:rsidRPr="00B32ABD">
        <w:rPr>
          <w:rFonts w:ascii="Times New Roman" w:hAnsi="Times New Roman" w:cs="Times New Roman"/>
          <w:sz w:val="22"/>
          <w:szCs w:val="22"/>
        </w:rPr>
        <w:t>Fonte: preparado pelos autores, 2020.</w:t>
      </w:r>
    </w:p>
    <w:p w14:paraId="26B3B35D" w14:textId="37CA869E" w:rsidR="009B1777" w:rsidRDefault="00C75464"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lastRenderedPageBreak/>
        <w:t>O</w:t>
      </w:r>
      <w:r w:rsidR="00BB56D7">
        <w:rPr>
          <w:rFonts w:ascii="Times New Roman" w:hAnsi="Times New Roman" w:cs="Times New Roman"/>
        </w:rPr>
        <w:t>bserva-se que o</w:t>
      </w:r>
      <w:r w:rsidR="00EA43E7">
        <w:rPr>
          <w:rFonts w:ascii="Times New Roman" w:hAnsi="Times New Roman" w:cs="Times New Roman"/>
        </w:rPr>
        <w:t xml:space="preserve">s setores comercial e financeiro apresentaram uma redução nas medianas da variável </w:t>
      </w:r>
      <w:proofErr w:type="spellStart"/>
      <w:r w:rsidR="00EA43E7">
        <w:rPr>
          <w:rFonts w:ascii="Times New Roman" w:hAnsi="Times New Roman" w:cs="Times New Roman"/>
        </w:rPr>
        <w:t>CashETRt</w:t>
      </w:r>
      <w:proofErr w:type="spellEnd"/>
      <w:r w:rsidR="00EA43E7">
        <w:rPr>
          <w:rFonts w:ascii="Times New Roman" w:hAnsi="Times New Roman" w:cs="Times New Roman"/>
        </w:rPr>
        <w:t xml:space="preserve"> </w:t>
      </w:r>
      <w:r w:rsidR="006C749A">
        <w:rPr>
          <w:rFonts w:ascii="Times New Roman" w:hAnsi="Times New Roman" w:cs="Times New Roman"/>
        </w:rPr>
        <w:t>no</w:t>
      </w:r>
      <w:r w:rsidR="004649B6">
        <w:rPr>
          <w:rFonts w:ascii="Times New Roman" w:hAnsi="Times New Roman" w:cs="Times New Roman"/>
        </w:rPr>
        <w:t xml:space="preserve"> quinquênio </w:t>
      </w:r>
      <w:r w:rsidR="006C749A">
        <w:rPr>
          <w:rFonts w:ascii="Times New Roman" w:hAnsi="Times New Roman" w:cs="Times New Roman"/>
        </w:rPr>
        <w:t xml:space="preserve">de 2015 </w:t>
      </w:r>
      <w:r w:rsidR="004649B6">
        <w:rPr>
          <w:rFonts w:ascii="Times New Roman" w:hAnsi="Times New Roman" w:cs="Times New Roman"/>
        </w:rPr>
        <w:t>a 2019</w:t>
      </w:r>
      <w:r w:rsidR="00EA43E7">
        <w:rPr>
          <w:rFonts w:ascii="Times New Roman" w:hAnsi="Times New Roman" w:cs="Times New Roman"/>
        </w:rPr>
        <w:t xml:space="preserve">, o que </w:t>
      </w:r>
      <w:r w:rsidR="006C749A">
        <w:rPr>
          <w:rFonts w:ascii="Times New Roman" w:hAnsi="Times New Roman" w:cs="Times New Roman"/>
        </w:rPr>
        <w:t>indica</w:t>
      </w:r>
      <w:r w:rsidR="00EA43E7">
        <w:rPr>
          <w:rFonts w:ascii="Times New Roman" w:hAnsi="Times New Roman" w:cs="Times New Roman"/>
        </w:rPr>
        <w:t xml:space="preserve"> </w:t>
      </w:r>
      <w:r w:rsidR="007561DF">
        <w:rPr>
          <w:rFonts w:ascii="Times New Roman" w:hAnsi="Times New Roman" w:cs="Times New Roman"/>
        </w:rPr>
        <w:t>a ocorrência de</w:t>
      </w:r>
      <w:r w:rsidR="00EA43E7">
        <w:rPr>
          <w:rFonts w:ascii="Times New Roman" w:hAnsi="Times New Roman" w:cs="Times New Roman"/>
        </w:rPr>
        <w:t xml:space="preserve"> </w:t>
      </w:r>
      <w:r w:rsidR="006C749A">
        <w:rPr>
          <w:rFonts w:ascii="Times New Roman" w:hAnsi="Times New Roman" w:cs="Times New Roman"/>
        </w:rPr>
        <w:t xml:space="preserve">um </w:t>
      </w:r>
      <w:r w:rsidR="00EA43E7">
        <w:rPr>
          <w:rFonts w:ascii="Times New Roman" w:hAnsi="Times New Roman" w:cs="Times New Roman"/>
        </w:rPr>
        <w:t xml:space="preserve">decréscimo na </w:t>
      </w:r>
      <w:r w:rsidR="009B1777">
        <w:rPr>
          <w:rFonts w:ascii="Times New Roman" w:hAnsi="Times New Roman" w:cs="Times New Roman"/>
        </w:rPr>
        <w:t>carga tributária total</w:t>
      </w:r>
      <w:r w:rsidR="00017A33">
        <w:rPr>
          <w:rFonts w:ascii="Times New Roman" w:hAnsi="Times New Roman" w:cs="Times New Roman"/>
        </w:rPr>
        <w:t xml:space="preserve"> incidente sobre o LAIR</w:t>
      </w:r>
      <w:r w:rsidR="00EA43E7">
        <w:rPr>
          <w:rFonts w:ascii="Times New Roman" w:hAnsi="Times New Roman" w:cs="Times New Roman"/>
        </w:rPr>
        <w:t xml:space="preserve">. Contrariamente, as medianas da variável </w:t>
      </w:r>
      <w:proofErr w:type="spellStart"/>
      <w:r w:rsidR="00EA43E7">
        <w:rPr>
          <w:rFonts w:ascii="Times New Roman" w:hAnsi="Times New Roman" w:cs="Times New Roman"/>
        </w:rPr>
        <w:t>CashETRt</w:t>
      </w:r>
      <w:proofErr w:type="spellEnd"/>
      <w:r w:rsidR="00EA43E7">
        <w:rPr>
          <w:rFonts w:ascii="Times New Roman" w:hAnsi="Times New Roman" w:cs="Times New Roman"/>
        </w:rPr>
        <w:t xml:space="preserve"> </w:t>
      </w:r>
      <w:r w:rsidR="006C749A">
        <w:rPr>
          <w:rFonts w:ascii="Times New Roman" w:hAnsi="Times New Roman" w:cs="Times New Roman"/>
        </w:rPr>
        <w:t xml:space="preserve">apontaram para </w:t>
      </w:r>
      <w:r w:rsidR="00EA43E7">
        <w:rPr>
          <w:rFonts w:ascii="Times New Roman" w:hAnsi="Times New Roman" w:cs="Times New Roman"/>
        </w:rPr>
        <w:t xml:space="preserve">um acréscimo </w:t>
      </w:r>
      <w:r w:rsidR="007561DF">
        <w:rPr>
          <w:rFonts w:ascii="Times New Roman" w:hAnsi="Times New Roman" w:cs="Times New Roman"/>
        </w:rPr>
        <w:t>n</w:t>
      </w:r>
      <w:r w:rsidR="00EA43E7">
        <w:rPr>
          <w:rFonts w:ascii="Times New Roman" w:hAnsi="Times New Roman" w:cs="Times New Roman"/>
        </w:rPr>
        <w:t xml:space="preserve">a carga tributária total nos setores de serviços e de exploração de imóveis, </w:t>
      </w:r>
      <w:r w:rsidR="00CF5E21">
        <w:rPr>
          <w:rFonts w:ascii="Times New Roman" w:hAnsi="Times New Roman" w:cs="Times New Roman"/>
        </w:rPr>
        <w:t>relativamente ao quinquênio iniciado em 2015</w:t>
      </w:r>
      <w:r w:rsidR="00CF5E21">
        <w:rPr>
          <w:rFonts w:ascii="Times New Roman" w:hAnsi="Times New Roman" w:cs="Times New Roman"/>
        </w:rPr>
        <w:t xml:space="preserve">. </w:t>
      </w:r>
      <w:r w:rsidR="00B16946">
        <w:rPr>
          <w:rFonts w:ascii="Times New Roman" w:hAnsi="Times New Roman" w:cs="Times New Roman"/>
        </w:rPr>
        <w:t xml:space="preserve">Não foi verificada alteração </w:t>
      </w:r>
      <w:r w:rsidR="006C749A">
        <w:rPr>
          <w:rFonts w:ascii="Times New Roman" w:hAnsi="Times New Roman" w:cs="Times New Roman"/>
        </w:rPr>
        <w:t>no</w:t>
      </w:r>
      <w:r w:rsidR="00EA43E7">
        <w:rPr>
          <w:rFonts w:ascii="Times New Roman" w:hAnsi="Times New Roman" w:cs="Times New Roman"/>
        </w:rPr>
        <w:t xml:space="preserve"> setor industrial.</w:t>
      </w:r>
    </w:p>
    <w:p w14:paraId="15B576A0" w14:textId="7486398E" w:rsidR="00EA43E7" w:rsidRDefault="007561DF"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Já a</w:t>
      </w:r>
      <w:r w:rsidR="00EA43E7">
        <w:rPr>
          <w:rFonts w:ascii="Times New Roman" w:hAnsi="Times New Roman" w:cs="Times New Roman"/>
        </w:rPr>
        <w:t xml:space="preserve">s medianas da variável </w:t>
      </w:r>
      <w:proofErr w:type="spellStart"/>
      <w:r w:rsidR="00EA43E7">
        <w:rPr>
          <w:rFonts w:ascii="Times New Roman" w:hAnsi="Times New Roman" w:cs="Times New Roman"/>
        </w:rPr>
        <w:t>CashETRc</w:t>
      </w:r>
      <w:proofErr w:type="spellEnd"/>
      <w:r w:rsidR="00EA43E7">
        <w:rPr>
          <w:rFonts w:ascii="Times New Roman" w:hAnsi="Times New Roman" w:cs="Times New Roman"/>
        </w:rPr>
        <w:t xml:space="preserve"> </w:t>
      </w:r>
      <w:r w:rsidR="00B16946">
        <w:rPr>
          <w:rFonts w:ascii="Times New Roman" w:hAnsi="Times New Roman" w:cs="Times New Roman"/>
        </w:rPr>
        <w:t>apontam para</w:t>
      </w:r>
      <w:r w:rsidR="00EA43E7">
        <w:rPr>
          <w:rFonts w:ascii="Times New Roman" w:hAnsi="Times New Roman" w:cs="Times New Roman"/>
        </w:rPr>
        <w:t xml:space="preserve"> </w:t>
      </w:r>
      <w:r w:rsidR="00B16946">
        <w:rPr>
          <w:rFonts w:ascii="Times New Roman" w:hAnsi="Times New Roman" w:cs="Times New Roman"/>
        </w:rPr>
        <w:t xml:space="preserve">a ocorrência de </w:t>
      </w:r>
      <w:r w:rsidR="00EA43E7">
        <w:rPr>
          <w:rFonts w:ascii="Times New Roman" w:hAnsi="Times New Roman" w:cs="Times New Roman"/>
        </w:rPr>
        <w:t xml:space="preserve">um incremento </w:t>
      </w:r>
      <w:r>
        <w:rPr>
          <w:rFonts w:ascii="Times New Roman" w:hAnsi="Times New Roman" w:cs="Times New Roman"/>
        </w:rPr>
        <w:t xml:space="preserve">da tributação corrente </w:t>
      </w:r>
      <w:r w:rsidR="004649B6">
        <w:rPr>
          <w:rFonts w:ascii="Times New Roman" w:hAnsi="Times New Roman" w:cs="Times New Roman"/>
        </w:rPr>
        <w:t>n</w:t>
      </w:r>
      <w:r w:rsidR="00EA43E7">
        <w:rPr>
          <w:rFonts w:ascii="Times New Roman" w:hAnsi="Times New Roman" w:cs="Times New Roman"/>
        </w:rPr>
        <w:t>os setores industrial, de serviços e de exploração de imóveis</w:t>
      </w:r>
      <w:r w:rsidR="004649B6">
        <w:rPr>
          <w:rFonts w:ascii="Times New Roman" w:hAnsi="Times New Roman" w:cs="Times New Roman"/>
        </w:rPr>
        <w:t xml:space="preserve"> no quinquênio </w:t>
      </w:r>
      <w:r>
        <w:rPr>
          <w:rFonts w:ascii="Times New Roman" w:hAnsi="Times New Roman" w:cs="Times New Roman"/>
        </w:rPr>
        <w:t>de 2015 a 2019</w:t>
      </w:r>
      <w:r w:rsidR="00EA43E7">
        <w:rPr>
          <w:rFonts w:ascii="Times New Roman" w:hAnsi="Times New Roman" w:cs="Times New Roman"/>
        </w:rPr>
        <w:t>.</w:t>
      </w:r>
      <w:r w:rsidR="006C749A">
        <w:rPr>
          <w:rFonts w:ascii="Times New Roman" w:hAnsi="Times New Roman" w:cs="Times New Roman"/>
        </w:rPr>
        <w:t xml:space="preserve"> Por outro lado, </w:t>
      </w:r>
      <w:r w:rsidR="009F7629">
        <w:rPr>
          <w:rFonts w:ascii="Times New Roman" w:hAnsi="Times New Roman" w:cs="Times New Roman"/>
        </w:rPr>
        <w:t xml:space="preserve">as medianas da variável </w:t>
      </w:r>
      <w:proofErr w:type="spellStart"/>
      <w:r w:rsidR="009F7629">
        <w:rPr>
          <w:rFonts w:ascii="Times New Roman" w:hAnsi="Times New Roman" w:cs="Times New Roman"/>
        </w:rPr>
        <w:t>CashETRc</w:t>
      </w:r>
      <w:proofErr w:type="spellEnd"/>
      <w:r w:rsidR="009F7629">
        <w:rPr>
          <w:rFonts w:ascii="Times New Roman" w:hAnsi="Times New Roman" w:cs="Times New Roman"/>
        </w:rPr>
        <w:t xml:space="preserve"> </w:t>
      </w:r>
      <w:r w:rsidR="00B16946">
        <w:rPr>
          <w:rFonts w:ascii="Times New Roman" w:hAnsi="Times New Roman" w:cs="Times New Roman"/>
        </w:rPr>
        <w:t>sugerem</w:t>
      </w:r>
      <w:r w:rsidR="009F7629">
        <w:rPr>
          <w:rFonts w:ascii="Times New Roman" w:hAnsi="Times New Roman" w:cs="Times New Roman"/>
        </w:rPr>
        <w:t xml:space="preserve"> um decréscimo na carga tributária corrente </w:t>
      </w:r>
      <w:r w:rsidR="00B16946">
        <w:rPr>
          <w:rFonts w:ascii="Times New Roman" w:hAnsi="Times New Roman" w:cs="Times New Roman"/>
        </w:rPr>
        <w:t xml:space="preserve">das companhias </w:t>
      </w:r>
      <w:r w:rsidR="009F7629">
        <w:rPr>
          <w:rFonts w:ascii="Times New Roman" w:hAnsi="Times New Roman" w:cs="Times New Roman"/>
        </w:rPr>
        <w:t>financeir</w:t>
      </w:r>
      <w:r w:rsidR="00B16946">
        <w:rPr>
          <w:rFonts w:ascii="Times New Roman" w:hAnsi="Times New Roman" w:cs="Times New Roman"/>
        </w:rPr>
        <w:t>as</w:t>
      </w:r>
      <w:r w:rsidR="009F7629">
        <w:rPr>
          <w:rFonts w:ascii="Times New Roman" w:hAnsi="Times New Roman" w:cs="Times New Roman"/>
        </w:rPr>
        <w:t>, que ficou muito próxima da estabilidade no setor comercial.</w:t>
      </w:r>
    </w:p>
    <w:p w14:paraId="1DD872C2" w14:textId="2FE590EE" w:rsidR="00F6132E" w:rsidRDefault="00300AD5"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 xml:space="preserve">Muito embora as alíquotas </w:t>
      </w:r>
      <w:r w:rsidR="0088701D">
        <w:rPr>
          <w:rFonts w:ascii="Times New Roman" w:hAnsi="Times New Roman" w:cs="Times New Roman"/>
        </w:rPr>
        <w:t xml:space="preserve">nominais </w:t>
      </w:r>
      <w:r>
        <w:rPr>
          <w:rFonts w:ascii="Times New Roman" w:hAnsi="Times New Roman" w:cs="Times New Roman"/>
        </w:rPr>
        <w:t xml:space="preserve">da CSLL </w:t>
      </w:r>
      <w:r w:rsidR="00621792">
        <w:rPr>
          <w:rFonts w:ascii="Times New Roman" w:hAnsi="Times New Roman" w:cs="Times New Roman"/>
        </w:rPr>
        <w:t>para o</w:t>
      </w:r>
      <w:r w:rsidR="00E4524B">
        <w:rPr>
          <w:rFonts w:ascii="Times New Roman" w:hAnsi="Times New Roman" w:cs="Times New Roman"/>
        </w:rPr>
        <w:t xml:space="preserve"> setor financeiro </w:t>
      </w:r>
      <w:r>
        <w:rPr>
          <w:rFonts w:ascii="Times New Roman" w:hAnsi="Times New Roman" w:cs="Times New Roman"/>
        </w:rPr>
        <w:t xml:space="preserve">tenham </w:t>
      </w:r>
      <w:r w:rsidR="00E4524B">
        <w:rPr>
          <w:rFonts w:ascii="Times New Roman" w:hAnsi="Times New Roman" w:cs="Times New Roman"/>
        </w:rPr>
        <w:t>sido majoradas p</w:t>
      </w:r>
      <w:r w:rsidR="00621792">
        <w:rPr>
          <w:rFonts w:ascii="Times New Roman" w:hAnsi="Times New Roman" w:cs="Times New Roman"/>
        </w:rPr>
        <w:t>ela Lei nº 13.169 de 2015</w:t>
      </w:r>
      <w:r>
        <w:rPr>
          <w:rFonts w:ascii="Times New Roman" w:hAnsi="Times New Roman" w:cs="Times New Roman"/>
        </w:rPr>
        <w:t xml:space="preserve"> </w:t>
      </w:r>
      <w:r w:rsidR="00621792">
        <w:rPr>
          <w:rFonts w:ascii="Times New Roman" w:hAnsi="Times New Roman" w:cs="Times New Roman"/>
        </w:rPr>
        <w:t xml:space="preserve">a partir de </w:t>
      </w:r>
      <w:r w:rsidR="009C7DAF">
        <w:rPr>
          <w:rFonts w:ascii="Times New Roman" w:hAnsi="Times New Roman" w:cs="Times New Roman"/>
        </w:rPr>
        <w:t xml:space="preserve">setembro </w:t>
      </w:r>
      <w:r w:rsidR="00621792">
        <w:rPr>
          <w:rFonts w:ascii="Times New Roman" w:hAnsi="Times New Roman" w:cs="Times New Roman"/>
        </w:rPr>
        <w:t xml:space="preserve">de </w:t>
      </w:r>
      <w:r>
        <w:rPr>
          <w:rFonts w:ascii="Times New Roman" w:hAnsi="Times New Roman" w:cs="Times New Roman"/>
        </w:rPr>
        <w:t>2015</w:t>
      </w:r>
      <w:r w:rsidR="009C7DAF">
        <w:rPr>
          <w:rFonts w:ascii="Times New Roman" w:hAnsi="Times New Roman" w:cs="Times New Roman"/>
        </w:rPr>
        <w:t xml:space="preserve"> até dezembro de 2018</w:t>
      </w:r>
      <w:r w:rsidR="006C749A">
        <w:rPr>
          <w:rFonts w:ascii="Times New Roman" w:hAnsi="Times New Roman" w:cs="Times New Roman"/>
        </w:rPr>
        <w:t xml:space="preserve"> –</w:t>
      </w:r>
      <w:r w:rsidR="009F7629">
        <w:rPr>
          <w:rFonts w:ascii="Times New Roman" w:hAnsi="Times New Roman" w:cs="Times New Roman"/>
        </w:rPr>
        <w:t xml:space="preserve"> </w:t>
      </w:r>
      <w:r w:rsidR="006C749A">
        <w:rPr>
          <w:rFonts w:ascii="Times New Roman" w:hAnsi="Times New Roman" w:cs="Times New Roman"/>
        </w:rPr>
        <w:t>o percentual</w:t>
      </w:r>
      <w:r w:rsidR="00895CCF">
        <w:rPr>
          <w:rFonts w:ascii="Times New Roman" w:hAnsi="Times New Roman" w:cs="Times New Roman"/>
        </w:rPr>
        <w:t xml:space="preserve"> nomina</w:t>
      </w:r>
      <w:r w:rsidR="006C749A">
        <w:rPr>
          <w:rFonts w:ascii="Times New Roman" w:hAnsi="Times New Roman" w:cs="Times New Roman"/>
        </w:rPr>
        <w:t>l</w:t>
      </w:r>
      <w:r w:rsidR="00895CCF">
        <w:rPr>
          <w:rFonts w:ascii="Times New Roman" w:hAnsi="Times New Roman" w:cs="Times New Roman"/>
        </w:rPr>
        <w:t xml:space="preserve"> médi</w:t>
      </w:r>
      <w:r w:rsidR="006C749A">
        <w:rPr>
          <w:rFonts w:ascii="Times New Roman" w:hAnsi="Times New Roman" w:cs="Times New Roman"/>
        </w:rPr>
        <w:t>o</w:t>
      </w:r>
      <w:r w:rsidR="0088701D">
        <w:rPr>
          <w:rFonts w:ascii="Times New Roman" w:hAnsi="Times New Roman" w:cs="Times New Roman"/>
        </w:rPr>
        <w:t xml:space="preserve"> dos quinquênios</w:t>
      </w:r>
      <w:r w:rsidR="00895CCF">
        <w:rPr>
          <w:rFonts w:ascii="Times New Roman" w:hAnsi="Times New Roman" w:cs="Times New Roman"/>
        </w:rPr>
        <w:t xml:space="preserve"> se elev</w:t>
      </w:r>
      <w:r w:rsidR="009F7629">
        <w:rPr>
          <w:rFonts w:ascii="Times New Roman" w:hAnsi="Times New Roman" w:cs="Times New Roman"/>
        </w:rPr>
        <w:t>ou</w:t>
      </w:r>
      <w:r w:rsidR="00621792">
        <w:rPr>
          <w:rFonts w:ascii="Times New Roman" w:hAnsi="Times New Roman" w:cs="Times New Roman"/>
        </w:rPr>
        <w:t xml:space="preserve"> de</w:t>
      </w:r>
      <w:r>
        <w:rPr>
          <w:rFonts w:ascii="Times New Roman" w:hAnsi="Times New Roman" w:cs="Times New Roman"/>
        </w:rPr>
        <w:t xml:space="preserve"> 15%</w:t>
      </w:r>
      <w:r w:rsidR="006C749A">
        <w:rPr>
          <w:rFonts w:ascii="Times New Roman" w:hAnsi="Times New Roman" w:cs="Times New Roman"/>
        </w:rPr>
        <w:t xml:space="preserve"> (2010 a 201</w:t>
      </w:r>
      <w:r w:rsidR="006006E2">
        <w:rPr>
          <w:rFonts w:ascii="Times New Roman" w:hAnsi="Times New Roman" w:cs="Times New Roman"/>
        </w:rPr>
        <w:t>4</w:t>
      </w:r>
      <w:r w:rsidR="006C749A">
        <w:rPr>
          <w:rFonts w:ascii="Times New Roman" w:hAnsi="Times New Roman" w:cs="Times New Roman"/>
        </w:rPr>
        <w:t>)</w:t>
      </w:r>
      <w:r>
        <w:rPr>
          <w:rFonts w:ascii="Times New Roman" w:hAnsi="Times New Roman" w:cs="Times New Roman"/>
        </w:rPr>
        <w:t xml:space="preserve"> para 18,33%</w:t>
      </w:r>
      <w:r w:rsidR="006C749A">
        <w:rPr>
          <w:rFonts w:ascii="Times New Roman" w:hAnsi="Times New Roman" w:cs="Times New Roman"/>
        </w:rPr>
        <w:t xml:space="preserve"> (2015 a 2019) –</w:t>
      </w:r>
      <w:r w:rsidR="005C38BE">
        <w:rPr>
          <w:rFonts w:ascii="Times New Roman" w:hAnsi="Times New Roman" w:cs="Times New Roman"/>
        </w:rPr>
        <w:t>,</w:t>
      </w:r>
      <w:r>
        <w:rPr>
          <w:rFonts w:ascii="Times New Roman" w:hAnsi="Times New Roman" w:cs="Times New Roman"/>
        </w:rPr>
        <w:t xml:space="preserve"> verificou-se uma</w:t>
      </w:r>
      <w:r w:rsidR="00E4524B">
        <w:rPr>
          <w:rFonts w:ascii="Times New Roman" w:hAnsi="Times New Roman" w:cs="Times New Roman"/>
        </w:rPr>
        <w:t xml:space="preserve"> redução significativa nas medianas das </w:t>
      </w:r>
      <w:r w:rsidR="005C38BE">
        <w:rPr>
          <w:rFonts w:ascii="Times New Roman" w:hAnsi="Times New Roman" w:cs="Times New Roman"/>
        </w:rPr>
        <w:t xml:space="preserve">variáveis </w:t>
      </w:r>
      <w:proofErr w:type="spellStart"/>
      <w:r w:rsidR="00E4524B">
        <w:rPr>
          <w:rFonts w:ascii="Times New Roman" w:hAnsi="Times New Roman" w:cs="Times New Roman"/>
        </w:rPr>
        <w:t>CashETRt</w:t>
      </w:r>
      <w:proofErr w:type="spellEnd"/>
      <w:r w:rsidR="00E4524B">
        <w:rPr>
          <w:rFonts w:ascii="Times New Roman" w:hAnsi="Times New Roman" w:cs="Times New Roman"/>
        </w:rPr>
        <w:t xml:space="preserve"> e </w:t>
      </w:r>
      <w:proofErr w:type="spellStart"/>
      <w:r w:rsidR="00E4524B">
        <w:rPr>
          <w:rFonts w:ascii="Times New Roman" w:hAnsi="Times New Roman" w:cs="Times New Roman"/>
        </w:rPr>
        <w:t>CashETRc</w:t>
      </w:r>
      <w:proofErr w:type="spellEnd"/>
      <w:r w:rsidR="00476EDF">
        <w:rPr>
          <w:rFonts w:ascii="Times New Roman" w:hAnsi="Times New Roman" w:cs="Times New Roman"/>
        </w:rPr>
        <w:t xml:space="preserve"> </w:t>
      </w:r>
      <w:r w:rsidR="005C38BE">
        <w:rPr>
          <w:rFonts w:ascii="Times New Roman" w:hAnsi="Times New Roman" w:cs="Times New Roman"/>
        </w:rPr>
        <w:t>mensuradas n</w:t>
      </w:r>
      <w:r w:rsidR="006C749A">
        <w:rPr>
          <w:rFonts w:ascii="Times New Roman" w:hAnsi="Times New Roman" w:cs="Times New Roman"/>
        </w:rPr>
        <w:t>aquele</w:t>
      </w:r>
      <w:r w:rsidR="00476EDF">
        <w:rPr>
          <w:rFonts w:ascii="Times New Roman" w:hAnsi="Times New Roman" w:cs="Times New Roman"/>
        </w:rPr>
        <w:t xml:space="preserve"> setor</w:t>
      </w:r>
      <w:r w:rsidR="00E4524B">
        <w:rPr>
          <w:rFonts w:ascii="Times New Roman" w:hAnsi="Times New Roman" w:cs="Times New Roman"/>
        </w:rPr>
        <w:t xml:space="preserve">, </w:t>
      </w:r>
      <w:r w:rsidR="005C38BE">
        <w:rPr>
          <w:rFonts w:ascii="Times New Roman" w:hAnsi="Times New Roman" w:cs="Times New Roman"/>
        </w:rPr>
        <w:t xml:space="preserve">o que se observa tanto no caso dos </w:t>
      </w:r>
      <w:r w:rsidR="00E4524B">
        <w:rPr>
          <w:rFonts w:ascii="Times New Roman" w:hAnsi="Times New Roman" w:cs="Times New Roman"/>
        </w:rPr>
        <w:t xml:space="preserve">bancos </w:t>
      </w:r>
      <w:r w:rsidR="005C38BE">
        <w:rPr>
          <w:rFonts w:ascii="Times New Roman" w:hAnsi="Times New Roman" w:cs="Times New Roman"/>
        </w:rPr>
        <w:t xml:space="preserve">quanto dos </w:t>
      </w:r>
      <w:r w:rsidR="00E4524B">
        <w:rPr>
          <w:rFonts w:ascii="Times New Roman" w:hAnsi="Times New Roman" w:cs="Times New Roman"/>
        </w:rPr>
        <w:t>outros serviços financeiros.</w:t>
      </w:r>
      <w:r w:rsidR="00F6132E">
        <w:rPr>
          <w:rFonts w:ascii="Times New Roman" w:hAnsi="Times New Roman" w:cs="Times New Roman"/>
        </w:rPr>
        <w:t xml:space="preserve"> </w:t>
      </w:r>
    </w:p>
    <w:p w14:paraId="14F5B85B" w14:textId="77777777" w:rsidR="000A76D6" w:rsidRDefault="000A76D6" w:rsidP="0002354A">
      <w:pPr>
        <w:pStyle w:val="Corpodetexto"/>
        <w:spacing w:after="120" w:line="240" w:lineRule="auto"/>
        <w:jc w:val="both"/>
        <w:rPr>
          <w:rFonts w:ascii="Times New Roman" w:hAnsi="Times New Roman" w:cs="Times New Roman"/>
        </w:rPr>
      </w:pPr>
    </w:p>
    <w:p w14:paraId="75510562" w14:textId="4F209865" w:rsidR="00335584" w:rsidRDefault="00F6132E" w:rsidP="0002354A">
      <w:pPr>
        <w:spacing w:after="120"/>
        <w:jc w:val="both"/>
        <w:rPr>
          <w:rFonts w:ascii="Times New Roman" w:hAnsi="Times New Roman" w:cs="Times New Roman"/>
        </w:rPr>
      </w:pPr>
      <w:r>
        <w:rPr>
          <w:rFonts w:ascii="Times New Roman" w:hAnsi="Times New Roman" w:cs="Times New Roman"/>
          <w:b/>
          <w:bCs/>
        </w:rPr>
        <w:t>4.2</w:t>
      </w:r>
      <w:r>
        <w:rPr>
          <w:rFonts w:ascii="Times New Roman" w:hAnsi="Times New Roman" w:cs="Times New Roman"/>
        </w:rPr>
        <w:t xml:space="preserve"> </w:t>
      </w:r>
      <w:r w:rsidRPr="00F6132E">
        <w:rPr>
          <w:rFonts w:ascii="Times New Roman" w:hAnsi="Times New Roman" w:cs="Times New Roman"/>
          <w:b/>
          <w:bCs/>
        </w:rPr>
        <w:t>Teste</w:t>
      </w:r>
      <w:r>
        <w:rPr>
          <w:rFonts w:ascii="Times New Roman" w:hAnsi="Times New Roman" w:cs="Times New Roman"/>
          <w:b/>
          <w:bCs/>
        </w:rPr>
        <w:t xml:space="preserve">s de </w:t>
      </w:r>
      <w:proofErr w:type="spellStart"/>
      <w:r>
        <w:rPr>
          <w:rFonts w:ascii="Times New Roman" w:hAnsi="Times New Roman" w:cs="Times New Roman"/>
          <w:b/>
          <w:bCs/>
        </w:rPr>
        <w:t>Kolmogorov</w:t>
      </w:r>
      <w:proofErr w:type="spellEnd"/>
      <w:r>
        <w:rPr>
          <w:rFonts w:ascii="Times New Roman" w:hAnsi="Times New Roman" w:cs="Times New Roman"/>
          <w:b/>
          <w:bCs/>
        </w:rPr>
        <w:t xml:space="preserve">-Smirnov e </w:t>
      </w:r>
      <w:r w:rsidRPr="00F6132E">
        <w:rPr>
          <w:rFonts w:ascii="Times New Roman" w:hAnsi="Times New Roman" w:cs="Times New Roman"/>
          <w:b/>
          <w:bCs/>
        </w:rPr>
        <w:t xml:space="preserve">de </w:t>
      </w:r>
      <w:proofErr w:type="spellStart"/>
      <w:r w:rsidRPr="00F6132E">
        <w:rPr>
          <w:rFonts w:ascii="Times New Roman" w:hAnsi="Times New Roman" w:cs="Times New Roman"/>
          <w:b/>
          <w:bCs/>
        </w:rPr>
        <w:t>Wilcoxon</w:t>
      </w:r>
      <w:proofErr w:type="spellEnd"/>
    </w:p>
    <w:p w14:paraId="3E9A1B34" w14:textId="7722ACA2" w:rsidR="00335584" w:rsidRDefault="00F6132E" w:rsidP="00F83A22">
      <w:pPr>
        <w:spacing w:after="120"/>
        <w:ind w:firstLine="709"/>
        <w:jc w:val="both"/>
        <w:rPr>
          <w:rFonts w:ascii="Times New Roman" w:hAnsi="Times New Roman" w:cs="Times New Roman"/>
        </w:rPr>
      </w:pPr>
      <w:r>
        <w:rPr>
          <w:rFonts w:ascii="Times New Roman" w:hAnsi="Times New Roman" w:cs="Times New Roman"/>
        </w:rPr>
        <w:t xml:space="preserve">A normalidade das </w:t>
      </w:r>
      <w:r w:rsidR="009E093E">
        <w:rPr>
          <w:rFonts w:ascii="Times New Roman" w:hAnsi="Times New Roman" w:cs="Times New Roman"/>
        </w:rPr>
        <w:t>variáveis</w:t>
      </w:r>
      <w:r>
        <w:rPr>
          <w:rFonts w:ascii="Times New Roman" w:hAnsi="Times New Roman" w:cs="Times New Roman"/>
        </w:rPr>
        <w:t xml:space="preserve"> C</w:t>
      </w:r>
      <w:proofErr w:type="spellStart"/>
      <w:r>
        <w:rPr>
          <w:rFonts w:ascii="Times New Roman" w:hAnsi="Times New Roman" w:cs="Times New Roman"/>
        </w:rPr>
        <w:t>ashETRt</w:t>
      </w:r>
      <w:proofErr w:type="spellEnd"/>
      <w:r>
        <w:rPr>
          <w:rFonts w:ascii="Times New Roman" w:hAnsi="Times New Roman" w:cs="Times New Roman"/>
        </w:rPr>
        <w:t xml:space="preserve"> e </w:t>
      </w:r>
      <w:proofErr w:type="spellStart"/>
      <w:r>
        <w:rPr>
          <w:rFonts w:ascii="Times New Roman" w:hAnsi="Times New Roman" w:cs="Times New Roman"/>
        </w:rPr>
        <w:t>CashETRc</w:t>
      </w:r>
      <w:proofErr w:type="spellEnd"/>
      <w:r>
        <w:rPr>
          <w:rFonts w:ascii="Times New Roman" w:hAnsi="Times New Roman" w:cs="Times New Roman"/>
        </w:rPr>
        <w:t xml:space="preserve"> foi rejeitada pelo teste de </w:t>
      </w:r>
      <w:proofErr w:type="spellStart"/>
      <w:r>
        <w:rPr>
          <w:rFonts w:ascii="Times New Roman" w:hAnsi="Times New Roman" w:cs="Times New Roman"/>
        </w:rPr>
        <w:t>Kolmogorov</w:t>
      </w:r>
      <w:proofErr w:type="spellEnd"/>
      <w:r>
        <w:rPr>
          <w:rFonts w:ascii="Times New Roman" w:hAnsi="Times New Roman" w:cs="Times New Roman"/>
        </w:rPr>
        <w:t xml:space="preserve">-Smirnov, </w:t>
      </w:r>
      <w:r w:rsidR="00300AD5">
        <w:rPr>
          <w:rFonts w:ascii="Times New Roman" w:hAnsi="Times New Roman" w:cs="Times New Roman"/>
        </w:rPr>
        <w:t xml:space="preserve">tendo </w:t>
      </w:r>
      <w:r w:rsidR="009F7629">
        <w:rPr>
          <w:rFonts w:ascii="Times New Roman" w:hAnsi="Times New Roman" w:cs="Times New Roman"/>
        </w:rPr>
        <w:t>o</w:t>
      </w:r>
      <w:r>
        <w:rPr>
          <w:rFonts w:ascii="Times New Roman" w:hAnsi="Times New Roman" w:cs="Times New Roman"/>
        </w:rPr>
        <w:t xml:space="preserve"> </w:t>
      </w:r>
      <w:r w:rsidR="00300AD5" w:rsidRPr="00300AD5">
        <w:rPr>
          <w:rFonts w:ascii="Times New Roman" w:hAnsi="Times New Roman" w:cs="Times New Roman"/>
          <w:i/>
          <w:iCs/>
        </w:rPr>
        <w:t>p-</w:t>
      </w:r>
      <w:proofErr w:type="spellStart"/>
      <w:r w:rsidR="00300AD5" w:rsidRPr="00300AD5">
        <w:rPr>
          <w:rFonts w:ascii="Times New Roman" w:hAnsi="Times New Roman" w:cs="Times New Roman"/>
          <w:i/>
          <w:iCs/>
        </w:rPr>
        <w:t>value</w:t>
      </w:r>
      <w:proofErr w:type="spellEnd"/>
      <w:r>
        <w:rPr>
          <w:rFonts w:ascii="Times New Roman" w:hAnsi="Times New Roman" w:cs="Times New Roman"/>
        </w:rPr>
        <w:t xml:space="preserve"> </w:t>
      </w:r>
      <w:r w:rsidR="009F7629">
        <w:rPr>
          <w:rFonts w:ascii="Times New Roman" w:hAnsi="Times New Roman" w:cs="Times New Roman"/>
        </w:rPr>
        <w:t>resultado em</w:t>
      </w:r>
      <w:r>
        <w:rPr>
          <w:rFonts w:ascii="Times New Roman" w:hAnsi="Times New Roman" w:cs="Times New Roman"/>
        </w:rPr>
        <w:t xml:space="preserve"> 0,0000</w:t>
      </w:r>
      <w:r w:rsidR="00211883">
        <w:rPr>
          <w:rFonts w:ascii="Times New Roman" w:hAnsi="Times New Roman" w:cs="Times New Roman"/>
        </w:rPr>
        <w:t xml:space="preserve"> </w:t>
      </w:r>
      <w:r w:rsidR="00300AD5">
        <w:rPr>
          <w:rFonts w:ascii="Times New Roman" w:hAnsi="Times New Roman" w:cs="Times New Roman"/>
        </w:rPr>
        <w:t>n</w:t>
      </w:r>
      <w:r w:rsidR="00211883">
        <w:rPr>
          <w:rFonts w:ascii="Times New Roman" w:hAnsi="Times New Roman" w:cs="Times New Roman"/>
        </w:rPr>
        <w:t>as quatro amostras quinquenais</w:t>
      </w:r>
      <w:r w:rsidR="009F7629">
        <w:rPr>
          <w:rFonts w:ascii="Times New Roman" w:hAnsi="Times New Roman" w:cs="Times New Roman"/>
        </w:rPr>
        <w:t xml:space="preserve"> relativas às companhias:</w:t>
      </w:r>
      <w:r w:rsidR="001D1EC7">
        <w:rPr>
          <w:rFonts w:ascii="Times New Roman" w:hAnsi="Times New Roman" w:cs="Times New Roman"/>
        </w:rPr>
        <w:t xml:space="preserve"> </w:t>
      </w:r>
      <w:proofErr w:type="spellStart"/>
      <w:r w:rsidR="001D1EC7">
        <w:rPr>
          <w:rFonts w:ascii="Times New Roman" w:hAnsi="Times New Roman" w:cs="Times New Roman"/>
        </w:rPr>
        <w:t>CashETRc</w:t>
      </w:r>
      <w:proofErr w:type="spellEnd"/>
      <w:r w:rsidR="001D1EC7">
        <w:rPr>
          <w:rFonts w:ascii="Times New Roman" w:hAnsi="Times New Roman" w:cs="Times New Roman"/>
        </w:rPr>
        <w:t xml:space="preserve"> </w:t>
      </w:r>
      <w:r w:rsidR="001D1EC7" w:rsidRPr="001D1EC7">
        <w:rPr>
          <w:rFonts w:ascii="Times New Roman" w:hAnsi="Times New Roman" w:cs="Times New Roman"/>
          <w:kern w:val="24"/>
          <w:vertAlign w:val="subscript"/>
        </w:rPr>
        <w:t>2015 a 2019</w:t>
      </w:r>
      <w:r w:rsidR="00735D5A">
        <w:rPr>
          <w:rFonts w:ascii="Times New Roman" w:hAnsi="Times New Roman" w:cs="Times New Roman"/>
        </w:rPr>
        <w:t xml:space="preserve">, </w:t>
      </w:r>
      <w:proofErr w:type="spellStart"/>
      <w:r w:rsidR="001D1EC7">
        <w:rPr>
          <w:rFonts w:ascii="Times New Roman" w:hAnsi="Times New Roman" w:cs="Times New Roman"/>
        </w:rPr>
        <w:t>CashETRc</w:t>
      </w:r>
      <w:proofErr w:type="spellEnd"/>
      <w:r w:rsidR="001D1EC7">
        <w:rPr>
          <w:rFonts w:ascii="Times New Roman" w:hAnsi="Times New Roman" w:cs="Times New Roman"/>
        </w:rPr>
        <w:t xml:space="preserve"> </w:t>
      </w:r>
      <w:r w:rsidR="001D1EC7" w:rsidRPr="001D1EC7">
        <w:rPr>
          <w:rFonts w:ascii="Times New Roman" w:hAnsi="Times New Roman" w:cs="Times New Roman"/>
          <w:kern w:val="24"/>
          <w:vertAlign w:val="subscript"/>
        </w:rPr>
        <w:t>2010 a 2014</w:t>
      </w:r>
      <w:r w:rsidR="00735D5A">
        <w:rPr>
          <w:rFonts w:ascii="Times New Roman" w:hAnsi="Times New Roman" w:cs="Times New Roman"/>
        </w:rPr>
        <w:t xml:space="preserve">, </w:t>
      </w:r>
      <w:proofErr w:type="spellStart"/>
      <w:r w:rsidR="001D1EC7">
        <w:rPr>
          <w:rFonts w:ascii="Times New Roman" w:hAnsi="Times New Roman" w:cs="Times New Roman"/>
        </w:rPr>
        <w:t>CashETRt</w:t>
      </w:r>
      <w:proofErr w:type="spellEnd"/>
      <w:r w:rsidR="001D1EC7">
        <w:rPr>
          <w:rFonts w:ascii="Times New Roman" w:hAnsi="Times New Roman" w:cs="Times New Roman"/>
        </w:rPr>
        <w:t xml:space="preserve"> </w:t>
      </w:r>
      <w:r w:rsidR="001D1EC7" w:rsidRPr="001D1EC7">
        <w:rPr>
          <w:rFonts w:ascii="Times New Roman" w:hAnsi="Times New Roman" w:cs="Times New Roman"/>
          <w:kern w:val="24"/>
          <w:vertAlign w:val="subscript"/>
        </w:rPr>
        <w:t>2015 a 2019</w:t>
      </w:r>
      <w:r w:rsidR="001D1EC7">
        <w:rPr>
          <w:rFonts w:ascii="Times New Roman" w:hAnsi="Times New Roman" w:cs="Times New Roman"/>
        </w:rPr>
        <w:t xml:space="preserve"> e </w:t>
      </w:r>
      <w:proofErr w:type="spellStart"/>
      <w:r w:rsidR="001D1EC7">
        <w:rPr>
          <w:rFonts w:ascii="Times New Roman" w:hAnsi="Times New Roman" w:cs="Times New Roman"/>
        </w:rPr>
        <w:t>CashETRt</w:t>
      </w:r>
      <w:proofErr w:type="spellEnd"/>
      <w:r w:rsidR="001D1EC7">
        <w:rPr>
          <w:rFonts w:ascii="Times New Roman" w:hAnsi="Times New Roman" w:cs="Times New Roman"/>
        </w:rPr>
        <w:t xml:space="preserve"> </w:t>
      </w:r>
      <w:r w:rsidR="001D1EC7" w:rsidRPr="00735D5A">
        <w:rPr>
          <w:rFonts w:ascii="Times New Roman" w:hAnsi="Times New Roman" w:cs="Times New Roman"/>
          <w:kern w:val="24"/>
          <w:vertAlign w:val="subscript"/>
        </w:rPr>
        <w:t>2010 a 2014</w:t>
      </w:r>
      <w:r>
        <w:rPr>
          <w:rFonts w:ascii="Times New Roman" w:hAnsi="Times New Roman" w:cs="Times New Roman"/>
        </w:rPr>
        <w:t>.</w:t>
      </w:r>
    </w:p>
    <w:p w14:paraId="06B543AA" w14:textId="5C5B0388" w:rsidR="002969AB" w:rsidRDefault="00F6132E" w:rsidP="00F83A22">
      <w:pPr>
        <w:spacing w:after="120"/>
        <w:ind w:firstLine="709"/>
        <w:jc w:val="both"/>
        <w:rPr>
          <w:rFonts w:ascii="Times New Roman" w:hAnsi="Times New Roman" w:cs="Times New Roman"/>
        </w:rPr>
      </w:pPr>
      <w:r>
        <w:rPr>
          <w:rFonts w:ascii="Times New Roman" w:hAnsi="Times New Roman" w:cs="Times New Roman"/>
        </w:rPr>
        <w:t>Os r</w:t>
      </w:r>
      <w:r w:rsidR="006A4EFE">
        <w:rPr>
          <w:rFonts w:ascii="Times New Roman" w:hAnsi="Times New Roman" w:cs="Times New Roman"/>
        </w:rPr>
        <w:t>esultados obtidos</w:t>
      </w:r>
      <w:r>
        <w:rPr>
          <w:rFonts w:ascii="Times New Roman" w:hAnsi="Times New Roman" w:cs="Times New Roman"/>
        </w:rPr>
        <w:t xml:space="preserve"> </w:t>
      </w:r>
      <w:r w:rsidR="00335584">
        <w:rPr>
          <w:rFonts w:ascii="Times New Roman" w:hAnsi="Times New Roman" w:cs="Times New Roman"/>
        </w:rPr>
        <w:t>no</w:t>
      </w:r>
      <w:r>
        <w:rPr>
          <w:rFonts w:ascii="Times New Roman" w:hAnsi="Times New Roman" w:cs="Times New Roman"/>
        </w:rPr>
        <w:t xml:space="preserve"> teste</w:t>
      </w:r>
      <w:r w:rsidR="00294D3B">
        <w:rPr>
          <w:rFonts w:ascii="Times New Roman" w:hAnsi="Times New Roman" w:cs="Times New Roman"/>
        </w:rPr>
        <w:t xml:space="preserve"> de </w:t>
      </w:r>
      <w:proofErr w:type="spellStart"/>
      <w:r w:rsidR="00294D3B" w:rsidRPr="00B16946">
        <w:rPr>
          <w:rFonts w:ascii="Times New Roman" w:hAnsi="Times New Roman" w:cs="Times New Roman"/>
        </w:rPr>
        <w:t>Wilcoxon</w:t>
      </w:r>
      <w:proofErr w:type="spellEnd"/>
      <w:r w:rsidR="006A4EFE">
        <w:rPr>
          <w:rFonts w:ascii="Times New Roman" w:hAnsi="Times New Roman" w:cs="Times New Roman"/>
        </w:rPr>
        <w:t xml:space="preserve"> </w:t>
      </w:r>
      <w:r>
        <w:rPr>
          <w:rFonts w:ascii="Times New Roman" w:hAnsi="Times New Roman" w:cs="Times New Roman"/>
        </w:rPr>
        <w:t xml:space="preserve">para as variáveis emparelhadas </w:t>
      </w:r>
      <w:proofErr w:type="spellStart"/>
      <w:r>
        <w:rPr>
          <w:rFonts w:ascii="Times New Roman" w:hAnsi="Times New Roman" w:cs="Times New Roman"/>
        </w:rPr>
        <w:t>CashETRt</w:t>
      </w:r>
      <w:proofErr w:type="spellEnd"/>
      <w:r>
        <w:rPr>
          <w:rFonts w:ascii="Times New Roman" w:hAnsi="Times New Roman" w:cs="Times New Roman"/>
        </w:rPr>
        <w:t xml:space="preserve"> e </w:t>
      </w:r>
      <w:proofErr w:type="spellStart"/>
      <w:r>
        <w:rPr>
          <w:rFonts w:ascii="Times New Roman" w:hAnsi="Times New Roman" w:cs="Times New Roman"/>
        </w:rPr>
        <w:t>CashETRc</w:t>
      </w:r>
      <w:proofErr w:type="spellEnd"/>
      <w:r>
        <w:rPr>
          <w:rFonts w:ascii="Times New Roman" w:hAnsi="Times New Roman" w:cs="Times New Roman"/>
        </w:rPr>
        <w:t xml:space="preserve"> nos quinquênios de 2015 a 2019 (Lei nº</w:t>
      </w:r>
      <w:r w:rsidR="00B16946">
        <w:rPr>
          <w:rFonts w:ascii="Times New Roman" w:hAnsi="Times New Roman" w:cs="Times New Roman"/>
        </w:rPr>
        <w:t xml:space="preserve"> </w:t>
      </w:r>
      <w:r>
        <w:rPr>
          <w:rFonts w:ascii="Times New Roman" w:hAnsi="Times New Roman" w:cs="Times New Roman"/>
        </w:rPr>
        <w:t>12.973</w:t>
      </w:r>
      <w:r w:rsidR="009B6610">
        <w:rPr>
          <w:rFonts w:ascii="Times New Roman" w:hAnsi="Times New Roman" w:cs="Times New Roman"/>
        </w:rPr>
        <w:t>/</w:t>
      </w:r>
      <w:r>
        <w:rPr>
          <w:rFonts w:ascii="Times New Roman" w:hAnsi="Times New Roman" w:cs="Times New Roman"/>
        </w:rPr>
        <w:t>2014) e 2010 a 2014 (RTT)</w:t>
      </w:r>
      <w:r w:rsidR="009B1777">
        <w:rPr>
          <w:rFonts w:ascii="Times New Roman" w:hAnsi="Times New Roman" w:cs="Times New Roman"/>
        </w:rPr>
        <w:t xml:space="preserve">, </w:t>
      </w:r>
      <w:r w:rsidR="00335584">
        <w:rPr>
          <w:rFonts w:ascii="Times New Roman" w:hAnsi="Times New Roman" w:cs="Times New Roman"/>
        </w:rPr>
        <w:t xml:space="preserve">calculadas para as </w:t>
      </w:r>
      <w:r w:rsidR="009B1777">
        <w:rPr>
          <w:rFonts w:ascii="Times New Roman" w:hAnsi="Times New Roman" w:cs="Times New Roman"/>
        </w:rPr>
        <w:t xml:space="preserve">companhias </w:t>
      </w:r>
      <w:r w:rsidR="00335584">
        <w:rPr>
          <w:rFonts w:ascii="Times New Roman" w:hAnsi="Times New Roman" w:cs="Times New Roman"/>
        </w:rPr>
        <w:t xml:space="preserve">incluídas na pesquisa, </w:t>
      </w:r>
      <w:r w:rsidR="009B1777">
        <w:rPr>
          <w:rFonts w:ascii="Times New Roman" w:hAnsi="Times New Roman" w:cs="Times New Roman"/>
        </w:rPr>
        <w:t>divididas em setores de atividade econômica,</w:t>
      </w:r>
      <w:r w:rsidR="00335584">
        <w:rPr>
          <w:rFonts w:ascii="Times New Roman" w:hAnsi="Times New Roman" w:cs="Times New Roman"/>
        </w:rPr>
        <w:t xml:space="preserve"> com base nas informações financeiras consolidadas, </w:t>
      </w:r>
      <w:r w:rsidR="009B1777">
        <w:rPr>
          <w:rFonts w:ascii="Times New Roman" w:hAnsi="Times New Roman" w:cs="Times New Roman"/>
        </w:rPr>
        <w:t xml:space="preserve">estão demonstrados abaixo na Tabela </w:t>
      </w:r>
      <w:r w:rsidR="00B32ABD">
        <w:rPr>
          <w:rFonts w:ascii="Times New Roman" w:hAnsi="Times New Roman" w:cs="Times New Roman"/>
        </w:rPr>
        <w:t>2</w:t>
      </w:r>
      <w:r w:rsidR="006A4EFE">
        <w:rPr>
          <w:rFonts w:ascii="Times New Roman" w:hAnsi="Times New Roman" w:cs="Times New Roman"/>
        </w:rPr>
        <w:t xml:space="preserve">: </w:t>
      </w:r>
    </w:p>
    <w:p w14:paraId="226CE544" w14:textId="2570907D" w:rsidR="005D4C7D" w:rsidRPr="00B32ABD" w:rsidRDefault="009B1777" w:rsidP="009B1777">
      <w:pPr>
        <w:pStyle w:val="Corpodetexto"/>
        <w:spacing w:after="0" w:line="240" w:lineRule="auto"/>
        <w:jc w:val="both"/>
        <w:rPr>
          <w:rFonts w:ascii="Times New Roman" w:hAnsi="Times New Roman" w:cs="Times New Roman"/>
          <w:sz w:val="22"/>
          <w:szCs w:val="22"/>
        </w:rPr>
      </w:pPr>
      <w:r w:rsidRPr="00B32ABD">
        <w:rPr>
          <w:rFonts w:ascii="Times New Roman" w:hAnsi="Times New Roman" w:cs="Times New Roman"/>
          <w:sz w:val="22"/>
          <w:szCs w:val="22"/>
        </w:rPr>
        <w:t xml:space="preserve">Tabela </w:t>
      </w:r>
      <w:r w:rsidR="00B32ABD">
        <w:rPr>
          <w:rFonts w:ascii="Times New Roman" w:hAnsi="Times New Roman" w:cs="Times New Roman"/>
          <w:sz w:val="22"/>
          <w:szCs w:val="22"/>
        </w:rPr>
        <w:t>2</w:t>
      </w:r>
      <w:r w:rsidRPr="00B32ABD">
        <w:rPr>
          <w:rFonts w:ascii="Times New Roman" w:hAnsi="Times New Roman" w:cs="Times New Roman"/>
          <w:sz w:val="22"/>
          <w:szCs w:val="22"/>
        </w:rPr>
        <w:t xml:space="preserve"> – Teste de </w:t>
      </w:r>
      <w:proofErr w:type="spellStart"/>
      <w:r w:rsidRPr="00B32ABD">
        <w:rPr>
          <w:rFonts w:ascii="Times New Roman" w:hAnsi="Times New Roman" w:cs="Times New Roman"/>
          <w:sz w:val="22"/>
          <w:szCs w:val="22"/>
        </w:rPr>
        <w:t>Wilcoxon</w:t>
      </w:r>
      <w:proofErr w:type="spellEnd"/>
      <w:r w:rsidRPr="00B32ABD">
        <w:rPr>
          <w:rFonts w:ascii="Times New Roman" w:hAnsi="Times New Roman" w:cs="Times New Roman"/>
          <w:sz w:val="22"/>
          <w:szCs w:val="22"/>
        </w:rPr>
        <w:t xml:space="preserve"> para as variáveis </w:t>
      </w:r>
      <w:proofErr w:type="spellStart"/>
      <w:r w:rsidRPr="00B32ABD">
        <w:rPr>
          <w:rFonts w:ascii="Times New Roman" w:hAnsi="Times New Roman" w:cs="Times New Roman"/>
          <w:sz w:val="22"/>
          <w:szCs w:val="22"/>
        </w:rPr>
        <w:t>CashETRt</w:t>
      </w:r>
      <w:proofErr w:type="spellEnd"/>
      <w:r w:rsidRPr="00B32ABD">
        <w:rPr>
          <w:rFonts w:ascii="Times New Roman" w:hAnsi="Times New Roman" w:cs="Times New Roman"/>
          <w:sz w:val="22"/>
          <w:szCs w:val="22"/>
        </w:rPr>
        <w:t xml:space="preserve"> e </w:t>
      </w:r>
      <w:proofErr w:type="spellStart"/>
      <w:r w:rsidRPr="00B32ABD">
        <w:rPr>
          <w:rFonts w:ascii="Times New Roman" w:hAnsi="Times New Roman" w:cs="Times New Roman"/>
          <w:sz w:val="22"/>
          <w:szCs w:val="22"/>
        </w:rPr>
        <w:t>CashETRc</w:t>
      </w:r>
      <w:proofErr w:type="spellEnd"/>
      <w:r w:rsidRPr="00B32ABD">
        <w:rPr>
          <w:rFonts w:ascii="Times New Roman" w:hAnsi="Times New Roman" w:cs="Times New Roman"/>
          <w:sz w:val="22"/>
          <w:szCs w:val="22"/>
        </w:rPr>
        <w:t xml:space="preserve"> emparelhadas</w:t>
      </w:r>
    </w:p>
    <w:tbl>
      <w:tblPr>
        <w:tblW w:w="9020" w:type="dxa"/>
        <w:tblBorders>
          <w:insideH w:val="single" w:sz="4" w:space="0" w:color="auto"/>
        </w:tblBorders>
        <w:tblCellMar>
          <w:left w:w="70" w:type="dxa"/>
          <w:right w:w="70" w:type="dxa"/>
        </w:tblCellMar>
        <w:tblLook w:val="04A0" w:firstRow="1" w:lastRow="0" w:firstColumn="1" w:lastColumn="0" w:noHBand="0" w:noVBand="1"/>
      </w:tblPr>
      <w:tblGrid>
        <w:gridCol w:w="2161"/>
        <w:gridCol w:w="1660"/>
        <w:gridCol w:w="1660"/>
        <w:gridCol w:w="1253"/>
        <w:gridCol w:w="2286"/>
      </w:tblGrid>
      <w:tr w:rsidR="00F6132E" w:rsidRPr="00B32ABD" w14:paraId="77EFFEA6" w14:textId="77777777" w:rsidTr="00434E9F">
        <w:trPr>
          <w:trHeight w:val="535"/>
        </w:trPr>
        <w:tc>
          <w:tcPr>
            <w:tcW w:w="2220" w:type="dxa"/>
            <w:vMerge w:val="restart"/>
            <w:tcBorders>
              <w:top w:val="single" w:sz="4" w:space="0" w:color="auto"/>
              <w:bottom w:val="single" w:sz="4" w:space="0" w:color="auto"/>
            </w:tcBorders>
            <w:shd w:val="clear" w:color="auto" w:fill="FFFFFF" w:themeFill="background1"/>
            <w:vAlign w:val="center"/>
            <w:hideMark/>
          </w:tcPr>
          <w:p w14:paraId="60E69BC0" w14:textId="099BF53F"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Setores</w:t>
            </w:r>
          </w:p>
        </w:tc>
        <w:tc>
          <w:tcPr>
            <w:tcW w:w="3320" w:type="dxa"/>
            <w:gridSpan w:val="2"/>
            <w:tcBorders>
              <w:top w:val="single" w:sz="4" w:space="0" w:color="auto"/>
              <w:bottom w:val="single" w:sz="4" w:space="0" w:color="auto"/>
            </w:tcBorders>
            <w:shd w:val="clear" w:color="auto" w:fill="FFFFFF" w:themeFill="background1"/>
            <w:vAlign w:val="center"/>
            <w:hideMark/>
          </w:tcPr>
          <w:p w14:paraId="09F20705" w14:textId="77777777"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proofErr w:type="spellStart"/>
            <w:r w:rsidRPr="00B32ABD">
              <w:rPr>
                <w:rFonts w:ascii="Times New Roman" w:eastAsia="Times New Roman" w:hAnsi="Times New Roman" w:cs="Times New Roman"/>
                <w:b/>
                <w:bCs/>
                <w:i/>
                <w:iCs/>
                <w:kern w:val="0"/>
                <w:sz w:val="22"/>
                <w:szCs w:val="22"/>
                <w:lang w:eastAsia="pt-BR" w:bidi="ar-SA"/>
              </w:rPr>
              <w:t>Sig</w:t>
            </w:r>
            <w:proofErr w:type="spellEnd"/>
            <w:r w:rsidRPr="00B32ABD">
              <w:rPr>
                <w:rFonts w:ascii="Times New Roman" w:eastAsia="Times New Roman" w:hAnsi="Times New Roman" w:cs="Times New Roman"/>
                <w:b/>
                <w:bCs/>
                <w:i/>
                <w:iCs/>
                <w:kern w:val="0"/>
                <w:sz w:val="22"/>
                <w:szCs w:val="22"/>
                <w:lang w:eastAsia="pt-BR" w:bidi="ar-SA"/>
              </w:rPr>
              <w:t>. (P-</w:t>
            </w:r>
            <w:proofErr w:type="spellStart"/>
            <w:r w:rsidRPr="00B32ABD">
              <w:rPr>
                <w:rFonts w:ascii="Times New Roman" w:eastAsia="Times New Roman" w:hAnsi="Times New Roman" w:cs="Times New Roman"/>
                <w:b/>
                <w:bCs/>
                <w:i/>
                <w:iCs/>
                <w:kern w:val="0"/>
                <w:sz w:val="22"/>
                <w:szCs w:val="22"/>
                <w:lang w:eastAsia="pt-BR" w:bidi="ar-SA"/>
              </w:rPr>
              <w:t>Value</w:t>
            </w:r>
            <w:proofErr w:type="spellEnd"/>
            <w:r w:rsidRPr="00B32ABD">
              <w:rPr>
                <w:rFonts w:ascii="Times New Roman" w:eastAsia="Times New Roman" w:hAnsi="Times New Roman" w:cs="Times New Roman"/>
                <w:b/>
                <w:bCs/>
                <w:i/>
                <w:iCs/>
                <w:kern w:val="0"/>
                <w:sz w:val="22"/>
                <w:szCs w:val="22"/>
                <w:lang w:eastAsia="pt-BR" w:bidi="ar-SA"/>
              </w:rPr>
              <w:t>)</w:t>
            </w:r>
            <w:r w:rsidRPr="00B32ABD">
              <w:rPr>
                <w:rFonts w:ascii="Times New Roman" w:eastAsia="Times New Roman" w:hAnsi="Times New Roman" w:cs="Times New Roman"/>
                <w:b/>
                <w:bCs/>
                <w:kern w:val="0"/>
                <w:sz w:val="22"/>
                <w:szCs w:val="22"/>
                <w:lang w:eastAsia="pt-BR" w:bidi="ar-SA"/>
              </w:rPr>
              <w:t xml:space="preserve"> do Teste de</w:t>
            </w:r>
            <w:r w:rsidRPr="00B32ABD">
              <w:rPr>
                <w:rFonts w:ascii="Times New Roman" w:eastAsia="Times New Roman" w:hAnsi="Times New Roman" w:cs="Times New Roman"/>
                <w:b/>
                <w:bCs/>
                <w:i/>
                <w:iCs/>
                <w:kern w:val="0"/>
                <w:sz w:val="22"/>
                <w:szCs w:val="22"/>
                <w:lang w:eastAsia="pt-BR" w:bidi="ar-SA"/>
              </w:rPr>
              <w:t xml:space="preserve"> </w:t>
            </w:r>
            <w:proofErr w:type="spellStart"/>
            <w:r w:rsidRPr="00B32ABD">
              <w:rPr>
                <w:rFonts w:ascii="Times New Roman" w:eastAsia="Times New Roman" w:hAnsi="Times New Roman" w:cs="Times New Roman"/>
                <w:b/>
                <w:bCs/>
                <w:i/>
                <w:iCs/>
                <w:kern w:val="0"/>
                <w:sz w:val="22"/>
                <w:szCs w:val="22"/>
                <w:lang w:eastAsia="pt-BR" w:bidi="ar-SA"/>
              </w:rPr>
              <w:t>Wilcoxon</w:t>
            </w:r>
            <w:proofErr w:type="spellEnd"/>
          </w:p>
        </w:tc>
        <w:tc>
          <w:tcPr>
            <w:tcW w:w="1120" w:type="dxa"/>
            <w:vMerge w:val="restart"/>
            <w:tcBorders>
              <w:top w:val="single" w:sz="4" w:space="0" w:color="auto"/>
              <w:bottom w:val="single" w:sz="4" w:space="0" w:color="auto"/>
            </w:tcBorders>
            <w:shd w:val="clear" w:color="auto" w:fill="FFFFFF" w:themeFill="background1"/>
            <w:vAlign w:val="center"/>
            <w:hideMark/>
          </w:tcPr>
          <w:p w14:paraId="2503FE5E" w14:textId="77777777"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Nº de Pares Observados</w:t>
            </w:r>
          </w:p>
        </w:tc>
        <w:tc>
          <w:tcPr>
            <w:tcW w:w="2360" w:type="dxa"/>
            <w:vMerge w:val="restart"/>
            <w:tcBorders>
              <w:top w:val="single" w:sz="4" w:space="0" w:color="auto"/>
              <w:bottom w:val="single" w:sz="4" w:space="0" w:color="auto"/>
            </w:tcBorders>
            <w:shd w:val="clear" w:color="auto" w:fill="FFFFFF" w:themeFill="background1"/>
            <w:vAlign w:val="center"/>
            <w:hideMark/>
          </w:tcPr>
          <w:p w14:paraId="254234CA" w14:textId="77777777"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Conclusão</w:t>
            </w:r>
          </w:p>
        </w:tc>
      </w:tr>
      <w:tr w:rsidR="00F6132E" w:rsidRPr="00B32ABD" w14:paraId="302DB6C3" w14:textId="77777777" w:rsidTr="00434E9F">
        <w:trPr>
          <w:trHeight w:val="585"/>
        </w:trPr>
        <w:tc>
          <w:tcPr>
            <w:tcW w:w="2220" w:type="dxa"/>
            <w:vMerge/>
            <w:tcBorders>
              <w:top w:val="single" w:sz="4" w:space="0" w:color="auto"/>
              <w:bottom w:val="single" w:sz="4" w:space="0" w:color="auto"/>
            </w:tcBorders>
            <w:shd w:val="clear" w:color="auto" w:fill="FFFFFF" w:themeFill="background1"/>
            <w:vAlign w:val="center"/>
            <w:hideMark/>
          </w:tcPr>
          <w:p w14:paraId="4D091B44"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p>
        </w:tc>
        <w:tc>
          <w:tcPr>
            <w:tcW w:w="1660" w:type="dxa"/>
            <w:tcBorders>
              <w:top w:val="single" w:sz="4" w:space="0" w:color="auto"/>
            </w:tcBorders>
            <w:shd w:val="clear" w:color="auto" w:fill="FFFFFF" w:themeFill="background1"/>
            <w:vAlign w:val="center"/>
            <w:hideMark/>
          </w:tcPr>
          <w:p w14:paraId="7167EE5F" w14:textId="77777777"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proofErr w:type="spellStart"/>
            <w:r w:rsidRPr="00B32ABD">
              <w:rPr>
                <w:rFonts w:ascii="Times New Roman" w:eastAsia="Times New Roman" w:hAnsi="Times New Roman" w:cs="Times New Roman"/>
                <w:b/>
                <w:bCs/>
                <w:kern w:val="0"/>
                <w:sz w:val="22"/>
                <w:szCs w:val="22"/>
                <w:lang w:eastAsia="pt-BR" w:bidi="ar-SA"/>
              </w:rPr>
              <w:t>CashETRt</w:t>
            </w:r>
            <w:proofErr w:type="spellEnd"/>
          </w:p>
        </w:tc>
        <w:tc>
          <w:tcPr>
            <w:tcW w:w="1660" w:type="dxa"/>
            <w:tcBorders>
              <w:top w:val="single" w:sz="4" w:space="0" w:color="auto"/>
            </w:tcBorders>
            <w:shd w:val="clear" w:color="auto" w:fill="FFFFFF" w:themeFill="background1"/>
            <w:vAlign w:val="center"/>
            <w:hideMark/>
          </w:tcPr>
          <w:p w14:paraId="3B309737" w14:textId="77777777" w:rsidR="00F6132E" w:rsidRPr="00B32ABD" w:rsidRDefault="00F6132E" w:rsidP="00F6132E">
            <w:pPr>
              <w:suppressAutoHyphens w:val="0"/>
              <w:jc w:val="center"/>
              <w:rPr>
                <w:rFonts w:ascii="Times New Roman" w:eastAsia="Times New Roman" w:hAnsi="Times New Roman" w:cs="Times New Roman"/>
                <w:b/>
                <w:bCs/>
                <w:kern w:val="0"/>
                <w:sz w:val="22"/>
                <w:szCs w:val="22"/>
                <w:lang w:eastAsia="pt-BR" w:bidi="ar-SA"/>
              </w:rPr>
            </w:pPr>
            <w:proofErr w:type="spellStart"/>
            <w:r w:rsidRPr="00B32ABD">
              <w:rPr>
                <w:rFonts w:ascii="Times New Roman" w:eastAsia="Times New Roman" w:hAnsi="Times New Roman" w:cs="Times New Roman"/>
                <w:b/>
                <w:bCs/>
                <w:kern w:val="0"/>
                <w:sz w:val="22"/>
                <w:szCs w:val="22"/>
                <w:lang w:eastAsia="pt-BR" w:bidi="ar-SA"/>
              </w:rPr>
              <w:t>CashETRc</w:t>
            </w:r>
            <w:proofErr w:type="spellEnd"/>
          </w:p>
        </w:tc>
        <w:tc>
          <w:tcPr>
            <w:tcW w:w="1120" w:type="dxa"/>
            <w:vMerge/>
            <w:tcBorders>
              <w:top w:val="single" w:sz="4" w:space="0" w:color="auto"/>
            </w:tcBorders>
            <w:shd w:val="clear" w:color="auto" w:fill="FFFFFF" w:themeFill="background1"/>
            <w:vAlign w:val="center"/>
            <w:hideMark/>
          </w:tcPr>
          <w:p w14:paraId="5225F79D"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p>
        </w:tc>
        <w:tc>
          <w:tcPr>
            <w:tcW w:w="2360" w:type="dxa"/>
            <w:vMerge/>
            <w:tcBorders>
              <w:top w:val="single" w:sz="4" w:space="0" w:color="auto"/>
            </w:tcBorders>
            <w:shd w:val="clear" w:color="auto" w:fill="FFFFFF" w:themeFill="background1"/>
            <w:vAlign w:val="center"/>
            <w:hideMark/>
          </w:tcPr>
          <w:p w14:paraId="15992BB0"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p>
        </w:tc>
      </w:tr>
      <w:tr w:rsidR="00F6132E" w:rsidRPr="00B32ABD" w14:paraId="0D051D8F" w14:textId="77777777" w:rsidTr="00434E9F">
        <w:trPr>
          <w:trHeight w:val="914"/>
        </w:trPr>
        <w:tc>
          <w:tcPr>
            <w:tcW w:w="2220" w:type="dxa"/>
            <w:tcBorders>
              <w:top w:val="single" w:sz="4" w:space="0" w:color="auto"/>
            </w:tcBorders>
            <w:shd w:val="clear" w:color="auto" w:fill="FFFFFF" w:themeFill="background1"/>
            <w:vAlign w:val="center"/>
            <w:hideMark/>
          </w:tcPr>
          <w:p w14:paraId="64C916AD" w14:textId="73740E6B" w:rsidR="00F6132E" w:rsidRPr="00B32ABD"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b/>
                <w:bCs/>
                <w:kern w:val="0"/>
                <w:sz w:val="22"/>
                <w:szCs w:val="22"/>
                <w:lang w:eastAsia="pt-BR" w:bidi="ar-SA"/>
              </w:rPr>
              <w:t>Não Financeiro</w:t>
            </w:r>
            <w:r w:rsidRPr="00B32ABD">
              <w:rPr>
                <w:rFonts w:ascii="Times New Roman" w:eastAsia="Times New Roman" w:hAnsi="Times New Roman" w:cs="Times New Roman"/>
                <w:kern w:val="0"/>
                <w:sz w:val="22"/>
                <w:szCs w:val="22"/>
                <w:lang w:eastAsia="pt-BR" w:bidi="ar-SA"/>
              </w:rPr>
              <w:t xml:space="preserve"> (todas as Cias, exceto as </w:t>
            </w:r>
            <w:r w:rsidR="002969AB" w:rsidRPr="00B32ABD">
              <w:rPr>
                <w:rFonts w:ascii="Times New Roman" w:eastAsia="Times New Roman" w:hAnsi="Times New Roman" w:cs="Times New Roman"/>
                <w:kern w:val="0"/>
                <w:sz w:val="22"/>
                <w:szCs w:val="22"/>
                <w:lang w:eastAsia="pt-BR" w:bidi="ar-SA"/>
              </w:rPr>
              <w:t xml:space="preserve">do setor </w:t>
            </w:r>
            <w:r w:rsidRPr="00B32ABD">
              <w:rPr>
                <w:rFonts w:ascii="Times New Roman" w:eastAsia="Times New Roman" w:hAnsi="Times New Roman" w:cs="Times New Roman"/>
                <w:kern w:val="0"/>
                <w:sz w:val="22"/>
                <w:szCs w:val="22"/>
                <w:lang w:eastAsia="pt-BR" w:bidi="ar-SA"/>
              </w:rPr>
              <w:t>financeir</w:t>
            </w:r>
            <w:r w:rsidR="002969AB" w:rsidRPr="00B32ABD">
              <w:rPr>
                <w:rFonts w:ascii="Times New Roman" w:eastAsia="Times New Roman" w:hAnsi="Times New Roman" w:cs="Times New Roman"/>
                <w:kern w:val="0"/>
                <w:sz w:val="22"/>
                <w:szCs w:val="22"/>
                <w:lang w:eastAsia="pt-BR" w:bidi="ar-SA"/>
              </w:rPr>
              <w:t>o</w:t>
            </w:r>
            <w:r w:rsidRPr="00B32ABD">
              <w:rPr>
                <w:rFonts w:ascii="Times New Roman" w:eastAsia="Times New Roman" w:hAnsi="Times New Roman" w:cs="Times New Roman"/>
                <w:kern w:val="0"/>
                <w:sz w:val="22"/>
                <w:szCs w:val="22"/>
                <w:lang w:eastAsia="pt-BR" w:bidi="ar-SA"/>
              </w:rPr>
              <w:t>)</w:t>
            </w:r>
          </w:p>
        </w:tc>
        <w:tc>
          <w:tcPr>
            <w:tcW w:w="1660" w:type="dxa"/>
            <w:shd w:val="clear" w:color="auto" w:fill="FFFFFF" w:themeFill="background1"/>
            <w:noWrap/>
            <w:vAlign w:val="center"/>
            <w:hideMark/>
          </w:tcPr>
          <w:p w14:paraId="1177E1C3"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0,841</w:t>
            </w:r>
          </w:p>
        </w:tc>
        <w:tc>
          <w:tcPr>
            <w:tcW w:w="1660" w:type="dxa"/>
            <w:shd w:val="clear" w:color="auto" w:fill="FFFFFF" w:themeFill="background1"/>
            <w:noWrap/>
            <w:vAlign w:val="center"/>
            <w:hideMark/>
          </w:tcPr>
          <w:p w14:paraId="3F1CB36E"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0,096</w:t>
            </w:r>
          </w:p>
        </w:tc>
        <w:tc>
          <w:tcPr>
            <w:tcW w:w="1120" w:type="dxa"/>
            <w:shd w:val="clear" w:color="auto" w:fill="FFFFFF" w:themeFill="background1"/>
            <w:noWrap/>
            <w:vAlign w:val="center"/>
            <w:hideMark/>
          </w:tcPr>
          <w:p w14:paraId="4B1C68A3" w14:textId="77777777" w:rsidR="00F6132E" w:rsidRPr="00B32ABD" w:rsidRDefault="00F6132E" w:rsidP="00F6132E">
            <w:pPr>
              <w:suppressAutoHyphens w:val="0"/>
              <w:jc w:val="center"/>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187</w:t>
            </w:r>
          </w:p>
        </w:tc>
        <w:tc>
          <w:tcPr>
            <w:tcW w:w="2360" w:type="dxa"/>
            <w:shd w:val="clear" w:color="auto" w:fill="FFFFFF" w:themeFill="background1"/>
            <w:vAlign w:val="center"/>
            <w:hideMark/>
          </w:tcPr>
          <w:p w14:paraId="1BE721B7" w14:textId="7277D898" w:rsidR="00F6132E" w:rsidRPr="00B32ABD"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R</w:t>
            </w:r>
            <w:r w:rsidR="00335584" w:rsidRPr="00B32ABD">
              <w:rPr>
                <w:rFonts w:ascii="Times New Roman" w:eastAsia="Times New Roman" w:hAnsi="Times New Roman" w:cs="Times New Roman"/>
                <w:kern w:val="0"/>
                <w:sz w:val="22"/>
                <w:szCs w:val="22"/>
                <w:lang w:eastAsia="pt-BR" w:bidi="ar-SA"/>
              </w:rPr>
              <w:t>eter</w:t>
            </w:r>
            <w:r w:rsidRPr="00B32ABD">
              <w:rPr>
                <w:rFonts w:ascii="Times New Roman" w:eastAsia="Times New Roman" w:hAnsi="Times New Roman" w:cs="Times New Roman"/>
                <w:kern w:val="0"/>
                <w:sz w:val="22"/>
                <w:szCs w:val="22"/>
                <w:lang w:eastAsia="pt-BR" w:bidi="ar-SA"/>
              </w:rPr>
              <w:t xml:space="preserve"> as hipóteses nulas H1</w:t>
            </w:r>
            <w:r w:rsidRPr="00B32ABD">
              <w:rPr>
                <w:rFonts w:ascii="Times New Roman" w:eastAsia="Times New Roman" w:hAnsi="Times New Roman" w:cs="Times New Roman"/>
                <w:kern w:val="0"/>
                <w:sz w:val="22"/>
                <w:szCs w:val="22"/>
                <w:vertAlign w:val="subscript"/>
                <w:lang w:eastAsia="pt-BR" w:bidi="ar-SA"/>
              </w:rPr>
              <w:t>0</w:t>
            </w:r>
            <w:r w:rsidRPr="00B32ABD">
              <w:rPr>
                <w:rFonts w:ascii="Times New Roman" w:eastAsia="Times New Roman" w:hAnsi="Times New Roman" w:cs="Times New Roman"/>
                <w:kern w:val="0"/>
                <w:sz w:val="22"/>
                <w:szCs w:val="22"/>
                <w:lang w:eastAsia="pt-BR" w:bidi="ar-SA"/>
              </w:rPr>
              <w:t xml:space="preserve"> e H2</w:t>
            </w:r>
            <w:r w:rsidRPr="00B32ABD">
              <w:rPr>
                <w:rFonts w:ascii="Times New Roman" w:eastAsia="Times New Roman" w:hAnsi="Times New Roman" w:cs="Times New Roman"/>
                <w:kern w:val="0"/>
                <w:sz w:val="22"/>
                <w:szCs w:val="22"/>
                <w:vertAlign w:val="subscript"/>
                <w:lang w:eastAsia="pt-BR" w:bidi="ar-SA"/>
              </w:rPr>
              <w:t>0</w:t>
            </w:r>
            <w:r w:rsidRPr="00B32ABD">
              <w:rPr>
                <w:rFonts w:ascii="Times New Roman" w:eastAsia="Times New Roman" w:hAnsi="Times New Roman" w:cs="Times New Roman"/>
                <w:kern w:val="0"/>
                <w:sz w:val="22"/>
                <w:szCs w:val="22"/>
                <w:lang w:eastAsia="pt-BR" w:bidi="ar-SA"/>
              </w:rPr>
              <w:t>.</w:t>
            </w:r>
          </w:p>
        </w:tc>
      </w:tr>
      <w:tr w:rsidR="00F6132E" w:rsidRPr="00B32ABD" w14:paraId="38C8ED68" w14:textId="77777777" w:rsidTr="00434E9F">
        <w:trPr>
          <w:trHeight w:val="843"/>
        </w:trPr>
        <w:tc>
          <w:tcPr>
            <w:tcW w:w="2220" w:type="dxa"/>
            <w:shd w:val="clear" w:color="auto" w:fill="FFFFFF" w:themeFill="background1"/>
            <w:vAlign w:val="center"/>
            <w:hideMark/>
          </w:tcPr>
          <w:p w14:paraId="184BB3A5"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Comércio</w:t>
            </w:r>
          </w:p>
        </w:tc>
        <w:tc>
          <w:tcPr>
            <w:tcW w:w="1660" w:type="dxa"/>
            <w:shd w:val="clear" w:color="auto" w:fill="FFFFFF" w:themeFill="background1"/>
            <w:noWrap/>
            <w:vAlign w:val="center"/>
            <w:hideMark/>
          </w:tcPr>
          <w:p w14:paraId="2B37795D"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0,687</w:t>
            </w:r>
          </w:p>
        </w:tc>
        <w:tc>
          <w:tcPr>
            <w:tcW w:w="1660" w:type="dxa"/>
            <w:shd w:val="clear" w:color="auto" w:fill="FFFFFF" w:themeFill="background1"/>
            <w:noWrap/>
            <w:vAlign w:val="center"/>
            <w:hideMark/>
          </w:tcPr>
          <w:p w14:paraId="0A37B603"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0,287</w:t>
            </w:r>
          </w:p>
        </w:tc>
        <w:tc>
          <w:tcPr>
            <w:tcW w:w="1120" w:type="dxa"/>
            <w:shd w:val="clear" w:color="auto" w:fill="FFFFFF" w:themeFill="background1"/>
            <w:noWrap/>
            <w:vAlign w:val="center"/>
            <w:hideMark/>
          </w:tcPr>
          <w:p w14:paraId="164E40AC" w14:textId="77777777" w:rsidR="00F6132E" w:rsidRPr="00B32ABD" w:rsidRDefault="00F6132E" w:rsidP="00F6132E">
            <w:pPr>
              <w:suppressAutoHyphens w:val="0"/>
              <w:jc w:val="center"/>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17</w:t>
            </w:r>
          </w:p>
        </w:tc>
        <w:tc>
          <w:tcPr>
            <w:tcW w:w="2360" w:type="dxa"/>
            <w:shd w:val="clear" w:color="auto" w:fill="FFFFFF" w:themeFill="background1"/>
            <w:vAlign w:val="center"/>
            <w:hideMark/>
          </w:tcPr>
          <w:p w14:paraId="5313C712" w14:textId="7ABD3B4C" w:rsidR="00F6132E" w:rsidRPr="00B32ABD"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Re</w:t>
            </w:r>
            <w:r w:rsidR="004D16DD" w:rsidRPr="00B32ABD">
              <w:rPr>
                <w:rFonts w:ascii="Times New Roman" w:eastAsia="Times New Roman" w:hAnsi="Times New Roman" w:cs="Times New Roman"/>
                <w:kern w:val="0"/>
                <w:sz w:val="22"/>
                <w:szCs w:val="22"/>
                <w:lang w:eastAsia="pt-BR" w:bidi="ar-SA"/>
              </w:rPr>
              <w:t>ter</w:t>
            </w:r>
            <w:r w:rsidRPr="00B32ABD">
              <w:rPr>
                <w:rFonts w:ascii="Times New Roman" w:eastAsia="Times New Roman" w:hAnsi="Times New Roman" w:cs="Times New Roman"/>
                <w:kern w:val="0"/>
                <w:sz w:val="22"/>
                <w:szCs w:val="22"/>
                <w:lang w:eastAsia="pt-BR" w:bidi="ar-SA"/>
              </w:rPr>
              <w:t xml:space="preserve"> as hipóteses nulas </w:t>
            </w:r>
            <w:r w:rsidR="002969AB" w:rsidRPr="00B32ABD">
              <w:rPr>
                <w:rFonts w:ascii="Times New Roman" w:eastAsia="Times New Roman" w:hAnsi="Times New Roman" w:cs="Times New Roman"/>
                <w:kern w:val="0"/>
                <w:sz w:val="22"/>
                <w:szCs w:val="22"/>
                <w:lang w:eastAsia="pt-BR" w:bidi="ar-SA"/>
              </w:rPr>
              <w:t>H1</w:t>
            </w:r>
            <w:r w:rsidR="002969AB" w:rsidRPr="00B32ABD">
              <w:rPr>
                <w:rFonts w:ascii="Times New Roman" w:eastAsia="Times New Roman" w:hAnsi="Times New Roman" w:cs="Times New Roman"/>
                <w:kern w:val="0"/>
                <w:sz w:val="22"/>
                <w:szCs w:val="22"/>
                <w:vertAlign w:val="subscript"/>
                <w:lang w:eastAsia="pt-BR" w:bidi="ar-SA"/>
              </w:rPr>
              <w:t>0</w:t>
            </w:r>
            <w:r w:rsidR="002969AB" w:rsidRPr="00B32ABD">
              <w:rPr>
                <w:rFonts w:ascii="Times New Roman" w:eastAsia="Times New Roman" w:hAnsi="Times New Roman" w:cs="Times New Roman"/>
                <w:kern w:val="0"/>
                <w:sz w:val="22"/>
                <w:szCs w:val="22"/>
                <w:lang w:eastAsia="pt-BR" w:bidi="ar-SA"/>
              </w:rPr>
              <w:t xml:space="preserve"> e H2</w:t>
            </w:r>
            <w:r w:rsidR="002969AB" w:rsidRPr="00B32ABD">
              <w:rPr>
                <w:rFonts w:ascii="Times New Roman" w:eastAsia="Times New Roman" w:hAnsi="Times New Roman" w:cs="Times New Roman"/>
                <w:kern w:val="0"/>
                <w:sz w:val="22"/>
                <w:szCs w:val="22"/>
                <w:vertAlign w:val="subscript"/>
                <w:lang w:eastAsia="pt-BR" w:bidi="ar-SA"/>
              </w:rPr>
              <w:t>0</w:t>
            </w:r>
            <w:r w:rsidRPr="00B32ABD">
              <w:rPr>
                <w:rFonts w:ascii="Times New Roman" w:eastAsia="Times New Roman" w:hAnsi="Times New Roman" w:cs="Times New Roman"/>
                <w:kern w:val="0"/>
                <w:sz w:val="22"/>
                <w:szCs w:val="22"/>
                <w:lang w:eastAsia="pt-BR" w:bidi="ar-SA"/>
              </w:rPr>
              <w:t>.</w:t>
            </w:r>
          </w:p>
        </w:tc>
      </w:tr>
      <w:tr w:rsidR="00F6132E" w:rsidRPr="00B32ABD" w14:paraId="4E3561E9" w14:textId="77777777" w:rsidTr="00434E9F">
        <w:trPr>
          <w:trHeight w:val="854"/>
        </w:trPr>
        <w:tc>
          <w:tcPr>
            <w:tcW w:w="2220" w:type="dxa"/>
            <w:shd w:val="clear" w:color="auto" w:fill="FFFFFF" w:themeFill="background1"/>
            <w:vAlign w:val="center"/>
            <w:hideMark/>
          </w:tcPr>
          <w:p w14:paraId="0F488FE4"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Indústria</w:t>
            </w:r>
          </w:p>
        </w:tc>
        <w:tc>
          <w:tcPr>
            <w:tcW w:w="1660" w:type="dxa"/>
            <w:shd w:val="clear" w:color="auto" w:fill="FFFFFF" w:themeFill="background1"/>
            <w:noWrap/>
            <w:vAlign w:val="center"/>
            <w:hideMark/>
          </w:tcPr>
          <w:p w14:paraId="6DC4E0E3"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0,796</w:t>
            </w:r>
          </w:p>
        </w:tc>
        <w:tc>
          <w:tcPr>
            <w:tcW w:w="1660" w:type="dxa"/>
            <w:shd w:val="clear" w:color="auto" w:fill="FFFFFF" w:themeFill="background1"/>
            <w:noWrap/>
            <w:vAlign w:val="center"/>
            <w:hideMark/>
          </w:tcPr>
          <w:p w14:paraId="34F4541C"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0,285</w:t>
            </w:r>
          </w:p>
        </w:tc>
        <w:tc>
          <w:tcPr>
            <w:tcW w:w="1120" w:type="dxa"/>
            <w:shd w:val="clear" w:color="auto" w:fill="FFFFFF" w:themeFill="background1"/>
            <w:noWrap/>
            <w:vAlign w:val="center"/>
            <w:hideMark/>
          </w:tcPr>
          <w:p w14:paraId="1C4B8287" w14:textId="77777777" w:rsidR="00F6132E" w:rsidRPr="00B32ABD" w:rsidRDefault="00F6132E" w:rsidP="00F6132E">
            <w:pPr>
              <w:suppressAutoHyphens w:val="0"/>
              <w:jc w:val="center"/>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75</w:t>
            </w:r>
          </w:p>
        </w:tc>
        <w:tc>
          <w:tcPr>
            <w:tcW w:w="2360" w:type="dxa"/>
            <w:shd w:val="clear" w:color="auto" w:fill="FFFFFF" w:themeFill="background1"/>
            <w:vAlign w:val="center"/>
            <w:hideMark/>
          </w:tcPr>
          <w:p w14:paraId="17DB2C0B" w14:textId="4898CB05" w:rsidR="00F6132E" w:rsidRPr="00B32ABD"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Re</w:t>
            </w:r>
            <w:r w:rsidR="004D16DD" w:rsidRPr="00B32ABD">
              <w:rPr>
                <w:rFonts w:ascii="Times New Roman" w:eastAsia="Times New Roman" w:hAnsi="Times New Roman" w:cs="Times New Roman"/>
                <w:kern w:val="0"/>
                <w:sz w:val="22"/>
                <w:szCs w:val="22"/>
                <w:lang w:eastAsia="pt-BR" w:bidi="ar-SA"/>
              </w:rPr>
              <w:t>ter</w:t>
            </w:r>
            <w:r w:rsidRPr="00B32ABD">
              <w:rPr>
                <w:rFonts w:ascii="Times New Roman" w:eastAsia="Times New Roman" w:hAnsi="Times New Roman" w:cs="Times New Roman"/>
                <w:kern w:val="0"/>
                <w:sz w:val="22"/>
                <w:szCs w:val="22"/>
                <w:lang w:eastAsia="pt-BR" w:bidi="ar-SA"/>
              </w:rPr>
              <w:t xml:space="preserve"> as hipóteses nulas </w:t>
            </w:r>
            <w:r w:rsidR="002969AB" w:rsidRPr="00B32ABD">
              <w:rPr>
                <w:rFonts w:ascii="Times New Roman" w:eastAsia="Times New Roman" w:hAnsi="Times New Roman" w:cs="Times New Roman"/>
                <w:kern w:val="0"/>
                <w:sz w:val="22"/>
                <w:szCs w:val="22"/>
                <w:lang w:eastAsia="pt-BR" w:bidi="ar-SA"/>
              </w:rPr>
              <w:t>H1</w:t>
            </w:r>
            <w:r w:rsidR="002969AB" w:rsidRPr="00B32ABD">
              <w:rPr>
                <w:rFonts w:ascii="Times New Roman" w:eastAsia="Times New Roman" w:hAnsi="Times New Roman" w:cs="Times New Roman"/>
                <w:kern w:val="0"/>
                <w:sz w:val="22"/>
                <w:szCs w:val="22"/>
                <w:vertAlign w:val="subscript"/>
                <w:lang w:eastAsia="pt-BR" w:bidi="ar-SA"/>
              </w:rPr>
              <w:t>0</w:t>
            </w:r>
            <w:r w:rsidR="002969AB" w:rsidRPr="00B32ABD">
              <w:rPr>
                <w:rFonts w:ascii="Times New Roman" w:eastAsia="Times New Roman" w:hAnsi="Times New Roman" w:cs="Times New Roman"/>
                <w:kern w:val="0"/>
                <w:sz w:val="22"/>
                <w:szCs w:val="22"/>
                <w:lang w:eastAsia="pt-BR" w:bidi="ar-SA"/>
              </w:rPr>
              <w:t xml:space="preserve"> e H2</w:t>
            </w:r>
            <w:r w:rsidR="002969AB" w:rsidRPr="00B32ABD">
              <w:rPr>
                <w:rFonts w:ascii="Times New Roman" w:eastAsia="Times New Roman" w:hAnsi="Times New Roman" w:cs="Times New Roman"/>
                <w:kern w:val="0"/>
                <w:sz w:val="22"/>
                <w:szCs w:val="22"/>
                <w:vertAlign w:val="subscript"/>
                <w:lang w:eastAsia="pt-BR" w:bidi="ar-SA"/>
              </w:rPr>
              <w:t>0</w:t>
            </w:r>
            <w:r w:rsidRPr="00B32ABD">
              <w:rPr>
                <w:rFonts w:ascii="Times New Roman" w:eastAsia="Times New Roman" w:hAnsi="Times New Roman" w:cs="Times New Roman"/>
                <w:kern w:val="0"/>
                <w:sz w:val="22"/>
                <w:szCs w:val="22"/>
                <w:lang w:eastAsia="pt-BR" w:bidi="ar-SA"/>
              </w:rPr>
              <w:t>.</w:t>
            </w:r>
          </w:p>
        </w:tc>
      </w:tr>
      <w:tr w:rsidR="00F6132E" w:rsidRPr="00B32ABD" w14:paraId="4B189AFB" w14:textId="77777777" w:rsidTr="0094763A">
        <w:trPr>
          <w:trHeight w:val="825"/>
        </w:trPr>
        <w:tc>
          <w:tcPr>
            <w:tcW w:w="2220" w:type="dxa"/>
            <w:shd w:val="clear" w:color="auto" w:fill="FFFFFF" w:themeFill="background1"/>
            <w:vAlign w:val="center"/>
            <w:hideMark/>
          </w:tcPr>
          <w:p w14:paraId="70F9FF28"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t>Serviços</w:t>
            </w:r>
          </w:p>
        </w:tc>
        <w:tc>
          <w:tcPr>
            <w:tcW w:w="1660" w:type="dxa"/>
            <w:shd w:val="clear" w:color="auto" w:fill="FFFFFF" w:themeFill="background1"/>
            <w:noWrap/>
            <w:vAlign w:val="center"/>
            <w:hideMark/>
          </w:tcPr>
          <w:p w14:paraId="41BEA7BA"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0,789</w:t>
            </w:r>
          </w:p>
        </w:tc>
        <w:tc>
          <w:tcPr>
            <w:tcW w:w="1660" w:type="dxa"/>
            <w:shd w:val="clear" w:color="auto" w:fill="FFFFFF" w:themeFill="background1"/>
            <w:noWrap/>
            <w:vAlign w:val="center"/>
            <w:hideMark/>
          </w:tcPr>
          <w:p w14:paraId="4A3570B3"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0,352</w:t>
            </w:r>
          </w:p>
        </w:tc>
        <w:tc>
          <w:tcPr>
            <w:tcW w:w="1120" w:type="dxa"/>
            <w:shd w:val="clear" w:color="auto" w:fill="FFFFFF" w:themeFill="background1"/>
            <w:noWrap/>
            <w:vAlign w:val="center"/>
            <w:hideMark/>
          </w:tcPr>
          <w:p w14:paraId="7F314C9A" w14:textId="77777777" w:rsidR="00F6132E" w:rsidRPr="00B32ABD" w:rsidRDefault="00F6132E" w:rsidP="00F6132E">
            <w:pPr>
              <w:suppressAutoHyphens w:val="0"/>
              <w:jc w:val="center"/>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88</w:t>
            </w:r>
          </w:p>
        </w:tc>
        <w:tc>
          <w:tcPr>
            <w:tcW w:w="2360" w:type="dxa"/>
            <w:shd w:val="clear" w:color="auto" w:fill="FFFFFF" w:themeFill="background1"/>
            <w:vAlign w:val="center"/>
            <w:hideMark/>
          </w:tcPr>
          <w:p w14:paraId="2154BE63" w14:textId="28B154C3" w:rsidR="00F6132E" w:rsidRPr="00B32ABD"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Re</w:t>
            </w:r>
            <w:r w:rsidR="004D16DD" w:rsidRPr="00B32ABD">
              <w:rPr>
                <w:rFonts w:ascii="Times New Roman" w:eastAsia="Times New Roman" w:hAnsi="Times New Roman" w:cs="Times New Roman"/>
                <w:kern w:val="0"/>
                <w:sz w:val="22"/>
                <w:szCs w:val="22"/>
                <w:lang w:eastAsia="pt-BR" w:bidi="ar-SA"/>
              </w:rPr>
              <w:t>ter</w:t>
            </w:r>
            <w:r w:rsidRPr="00B32ABD">
              <w:rPr>
                <w:rFonts w:ascii="Times New Roman" w:eastAsia="Times New Roman" w:hAnsi="Times New Roman" w:cs="Times New Roman"/>
                <w:kern w:val="0"/>
                <w:sz w:val="22"/>
                <w:szCs w:val="22"/>
                <w:lang w:eastAsia="pt-BR" w:bidi="ar-SA"/>
              </w:rPr>
              <w:t xml:space="preserve"> as hipóteses nulas </w:t>
            </w:r>
            <w:r w:rsidR="002969AB" w:rsidRPr="00B32ABD">
              <w:rPr>
                <w:rFonts w:ascii="Times New Roman" w:eastAsia="Times New Roman" w:hAnsi="Times New Roman" w:cs="Times New Roman"/>
                <w:kern w:val="0"/>
                <w:sz w:val="22"/>
                <w:szCs w:val="22"/>
                <w:lang w:eastAsia="pt-BR" w:bidi="ar-SA"/>
              </w:rPr>
              <w:t>H1</w:t>
            </w:r>
            <w:r w:rsidR="002969AB" w:rsidRPr="00B32ABD">
              <w:rPr>
                <w:rFonts w:ascii="Times New Roman" w:eastAsia="Times New Roman" w:hAnsi="Times New Roman" w:cs="Times New Roman"/>
                <w:kern w:val="0"/>
                <w:sz w:val="22"/>
                <w:szCs w:val="22"/>
                <w:vertAlign w:val="subscript"/>
                <w:lang w:eastAsia="pt-BR" w:bidi="ar-SA"/>
              </w:rPr>
              <w:t>0</w:t>
            </w:r>
            <w:r w:rsidR="002969AB" w:rsidRPr="00B32ABD">
              <w:rPr>
                <w:rFonts w:ascii="Times New Roman" w:eastAsia="Times New Roman" w:hAnsi="Times New Roman" w:cs="Times New Roman"/>
                <w:kern w:val="0"/>
                <w:sz w:val="22"/>
                <w:szCs w:val="22"/>
                <w:lang w:eastAsia="pt-BR" w:bidi="ar-SA"/>
              </w:rPr>
              <w:t xml:space="preserve"> e H2</w:t>
            </w:r>
            <w:r w:rsidR="002969AB" w:rsidRPr="00B32ABD">
              <w:rPr>
                <w:rFonts w:ascii="Times New Roman" w:eastAsia="Times New Roman" w:hAnsi="Times New Roman" w:cs="Times New Roman"/>
                <w:kern w:val="0"/>
                <w:sz w:val="22"/>
                <w:szCs w:val="22"/>
                <w:vertAlign w:val="subscript"/>
                <w:lang w:eastAsia="pt-BR" w:bidi="ar-SA"/>
              </w:rPr>
              <w:t>0</w:t>
            </w:r>
            <w:r w:rsidRPr="00B32ABD">
              <w:rPr>
                <w:rFonts w:ascii="Times New Roman" w:eastAsia="Times New Roman" w:hAnsi="Times New Roman" w:cs="Times New Roman"/>
                <w:kern w:val="0"/>
                <w:sz w:val="22"/>
                <w:szCs w:val="22"/>
                <w:lang w:eastAsia="pt-BR" w:bidi="ar-SA"/>
              </w:rPr>
              <w:t>.</w:t>
            </w:r>
          </w:p>
        </w:tc>
      </w:tr>
      <w:tr w:rsidR="00F6132E" w:rsidRPr="00B32ABD" w14:paraId="6E8525B7" w14:textId="77777777" w:rsidTr="0094763A">
        <w:trPr>
          <w:trHeight w:val="852"/>
        </w:trPr>
        <w:tc>
          <w:tcPr>
            <w:tcW w:w="2220" w:type="dxa"/>
            <w:tcBorders>
              <w:bottom w:val="single" w:sz="4" w:space="0" w:color="auto"/>
            </w:tcBorders>
            <w:shd w:val="clear" w:color="auto" w:fill="FFFFFF" w:themeFill="background1"/>
            <w:vAlign w:val="center"/>
            <w:hideMark/>
          </w:tcPr>
          <w:p w14:paraId="09FE5FCF" w14:textId="77777777" w:rsidR="00F6132E" w:rsidRPr="00B32ABD" w:rsidRDefault="00F6132E" w:rsidP="00F6132E">
            <w:pPr>
              <w:suppressAutoHyphens w:val="0"/>
              <w:rPr>
                <w:rFonts w:ascii="Times New Roman" w:eastAsia="Times New Roman" w:hAnsi="Times New Roman" w:cs="Times New Roman"/>
                <w:b/>
                <w:bCs/>
                <w:kern w:val="0"/>
                <w:sz w:val="22"/>
                <w:szCs w:val="22"/>
                <w:lang w:eastAsia="pt-BR" w:bidi="ar-SA"/>
              </w:rPr>
            </w:pPr>
            <w:r w:rsidRPr="00B32ABD">
              <w:rPr>
                <w:rFonts w:ascii="Times New Roman" w:eastAsia="Times New Roman" w:hAnsi="Times New Roman" w:cs="Times New Roman"/>
                <w:b/>
                <w:bCs/>
                <w:kern w:val="0"/>
                <w:sz w:val="22"/>
                <w:szCs w:val="22"/>
                <w:lang w:eastAsia="pt-BR" w:bidi="ar-SA"/>
              </w:rPr>
              <w:lastRenderedPageBreak/>
              <w:t>Exploração de Imóveis</w:t>
            </w:r>
          </w:p>
        </w:tc>
        <w:tc>
          <w:tcPr>
            <w:tcW w:w="1660" w:type="dxa"/>
            <w:tcBorders>
              <w:bottom w:val="single" w:sz="4" w:space="0" w:color="auto"/>
            </w:tcBorders>
            <w:shd w:val="clear" w:color="auto" w:fill="FFFFFF" w:themeFill="background1"/>
            <w:noWrap/>
            <w:vAlign w:val="center"/>
            <w:hideMark/>
          </w:tcPr>
          <w:p w14:paraId="7EAE4CC1"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0,310</w:t>
            </w:r>
          </w:p>
        </w:tc>
        <w:tc>
          <w:tcPr>
            <w:tcW w:w="1660" w:type="dxa"/>
            <w:tcBorders>
              <w:bottom w:val="single" w:sz="4" w:space="0" w:color="auto"/>
            </w:tcBorders>
            <w:shd w:val="clear" w:color="auto" w:fill="FFFFFF" w:themeFill="background1"/>
            <w:noWrap/>
            <w:vAlign w:val="center"/>
            <w:hideMark/>
          </w:tcPr>
          <w:p w14:paraId="7FC39008"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0,237</w:t>
            </w:r>
          </w:p>
        </w:tc>
        <w:tc>
          <w:tcPr>
            <w:tcW w:w="1120" w:type="dxa"/>
            <w:tcBorders>
              <w:bottom w:val="single" w:sz="4" w:space="0" w:color="auto"/>
            </w:tcBorders>
            <w:shd w:val="clear" w:color="auto" w:fill="FFFFFF" w:themeFill="background1"/>
            <w:noWrap/>
            <w:vAlign w:val="center"/>
            <w:hideMark/>
          </w:tcPr>
          <w:p w14:paraId="0C796FEE" w14:textId="77777777" w:rsidR="00F6132E" w:rsidRPr="00B32ABD" w:rsidRDefault="00F6132E" w:rsidP="00F6132E">
            <w:pPr>
              <w:suppressAutoHyphens w:val="0"/>
              <w:jc w:val="center"/>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7</w:t>
            </w:r>
          </w:p>
        </w:tc>
        <w:tc>
          <w:tcPr>
            <w:tcW w:w="2360" w:type="dxa"/>
            <w:tcBorders>
              <w:bottom w:val="single" w:sz="4" w:space="0" w:color="auto"/>
            </w:tcBorders>
            <w:shd w:val="clear" w:color="auto" w:fill="FFFFFF" w:themeFill="background1"/>
            <w:vAlign w:val="center"/>
            <w:hideMark/>
          </w:tcPr>
          <w:p w14:paraId="29C7BC07" w14:textId="360D7D6E" w:rsidR="00F6132E" w:rsidRPr="00B32ABD"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Re</w:t>
            </w:r>
            <w:r w:rsidR="004D16DD" w:rsidRPr="00B32ABD">
              <w:rPr>
                <w:rFonts w:ascii="Times New Roman" w:eastAsia="Times New Roman" w:hAnsi="Times New Roman" w:cs="Times New Roman"/>
                <w:kern w:val="0"/>
                <w:sz w:val="22"/>
                <w:szCs w:val="22"/>
                <w:lang w:eastAsia="pt-BR" w:bidi="ar-SA"/>
              </w:rPr>
              <w:t>ter</w:t>
            </w:r>
            <w:r w:rsidRPr="00B32ABD">
              <w:rPr>
                <w:rFonts w:ascii="Times New Roman" w:eastAsia="Times New Roman" w:hAnsi="Times New Roman" w:cs="Times New Roman"/>
                <w:kern w:val="0"/>
                <w:sz w:val="22"/>
                <w:szCs w:val="22"/>
                <w:lang w:eastAsia="pt-BR" w:bidi="ar-SA"/>
              </w:rPr>
              <w:t xml:space="preserve"> as hipóteses nulas </w:t>
            </w:r>
            <w:r w:rsidR="002969AB" w:rsidRPr="00B32ABD">
              <w:rPr>
                <w:rFonts w:ascii="Times New Roman" w:eastAsia="Times New Roman" w:hAnsi="Times New Roman" w:cs="Times New Roman"/>
                <w:kern w:val="0"/>
                <w:sz w:val="22"/>
                <w:szCs w:val="22"/>
                <w:lang w:eastAsia="pt-BR" w:bidi="ar-SA"/>
              </w:rPr>
              <w:t>H1</w:t>
            </w:r>
            <w:r w:rsidR="002969AB" w:rsidRPr="00B32ABD">
              <w:rPr>
                <w:rFonts w:ascii="Times New Roman" w:eastAsia="Times New Roman" w:hAnsi="Times New Roman" w:cs="Times New Roman"/>
                <w:kern w:val="0"/>
                <w:sz w:val="22"/>
                <w:szCs w:val="22"/>
                <w:vertAlign w:val="subscript"/>
                <w:lang w:eastAsia="pt-BR" w:bidi="ar-SA"/>
              </w:rPr>
              <w:t>0</w:t>
            </w:r>
            <w:r w:rsidR="002969AB" w:rsidRPr="00B32ABD">
              <w:rPr>
                <w:rFonts w:ascii="Times New Roman" w:eastAsia="Times New Roman" w:hAnsi="Times New Roman" w:cs="Times New Roman"/>
                <w:kern w:val="0"/>
                <w:sz w:val="22"/>
                <w:szCs w:val="22"/>
                <w:lang w:eastAsia="pt-BR" w:bidi="ar-SA"/>
              </w:rPr>
              <w:t xml:space="preserve"> e H2</w:t>
            </w:r>
            <w:r w:rsidR="002969AB" w:rsidRPr="00B32ABD">
              <w:rPr>
                <w:rFonts w:ascii="Times New Roman" w:eastAsia="Times New Roman" w:hAnsi="Times New Roman" w:cs="Times New Roman"/>
                <w:kern w:val="0"/>
                <w:sz w:val="22"/>
                <w:szCs w:val="22"/>
                <w:vertAlign w:val="subscript"/>
                <w:lang w:eastAsia="pt-BR" w:bidi="ar-SA"/>
              </w:rPr>
              <w:t>0</w:t>
            </w:r>
            <w:r w:rsidRPr="00B32ABD">
              <w:rPr>
                <w:rFonts w:ascii="Times New Roman" w:eastAsia="Times New Roman" w:hAnsi="Times New Roman" w:cs="Times New Roman"/>
                <w:kern w:val="0"/>
                <w:sz w:val="22"/>
                <w:szCs w:val="22"/>
                <w:lang w:eastAsia="pt-BR" w:bidi="ar-SA"/>
              </w:rPr>
              <w:t>.</w:t>
            </w:r>
          </w:p>
        </w:tc>
      </w:tr>
      <w:tr w:rsidR="00F6132E" w:rsidRPr="00B32ABD" w14:paraId="3A9F70F4" w14:textId="77777777" w:rsidTr="0094763A">
        <w:trPr>
          <w:trHeight w:val="822"/>
        </w:trPr>
        <w:tc>
          <w:tcPr>
            <w:tcW w:w="2220" w:type="dxa"/>
            <w:tcBorders>
              <w:top w:val="single" w:sz="4" w:space="0" w:color="auto"/>
              <w:bottom w:val="single" w:sz="4" w:space="0" w:color="auto"/>
            </w:tcBorders>
            <w:shd w:val="clear" w:color="auto" w:fill="FFFFFF" w:themeFill="background1"/>
            <w:vAlign w:val="center"/>
            <w:hideMark/>
          </w:tcPr>
          <w:p w14:paraId="0504E122" w14:textId="77777777" w:rsidR="00F6132E" w:rsidRPr="00B32ABD" w:rsidRDefault="00F6132E" w:rsidP="00F6132E">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b/>
                <w:bCs/>
                <w:kern w:val="0"/>
                <w:sz w:val="22"/>
                <w:szCs w:val="22"/>
                <w:lang w:eastAsia="pt-BR" w:bidi="ar-SA"/>
              </w:rPr>
              <w:t>Financeiro</w:t>
            </w:r>
            <w:r w:rsidRPr="00B32ABD">
              <w:rPr>
                <w:rFonts w:ascii="Times New Roman" w:eastAsia="Times New Roman" w:hAnsi="Times New Roman" w:cs="Times New Roman"/>
                <w:kern w:val="0"/>
                <w:sz w:val="22"/>
                <w:szCs w:val="22"/>
                <w:lang w:eastAsia="pt-BR" w:bidi="ar-SA"/>
              </w:rPr>
              <w:t xml:space="preserve"> (bancos, seguradoras e outros)</w:t>
            </w:r>
          </w:p>
        </w:tc>
        <w:tc>
          <w:tcPr>
            <w:tcW w:w="1660" w:type="dxa"/>
            <w:tcBorders>
              <w:top w:val="single" w:sz="4" w:space="0" w:color="auto"/>
              <w:bottom w:val="single" w:sz="4" w:space="0" w:color="auto"/>
            </w:tcBorders>
            <w:shd w:val="clear" w:color="auto" w:fill="FFFFFF" w:themeFill="background1"/>
            <w:noWrap/>
            <w:vAlign w:val="center"/>
            <w:hideMark/>
          </w:tcPr>
          <w:p w14:paraId="273D8E60"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0,028</w:t>
            </w:r>
          </w:p>
        </w:tc>
        <w:tc>
          <w:tcPr>
            <w:tcW w:w="1660" w:type="dxa"/>
            <w:tcBorders>
              <w:top w:val="single" w:sz="4" w:space="0" w:color="auto"/>
              <w:bottom w:val="single" w:sz="4" w:space="0" w:color="auto"/>
            </w:tcBorders>
            <w:shd w:val="clear" w:color="auto" w:fill="FFFFFF" w:themeFill="background1"/>
            <w:noWrap/>
            <w:vAlign w:val="center"/>
            <w:hideMark/>
          </w:tcPr>
          <w:p w14:paraId="7F8BB51D" w14:textId="77777777" w:rsidR="00F6132E" w:rsidRPr="00B32ABD" w:rsidRDefault="00F6132E" w:rsidP="00F6132E">
            <w:pPr>
              <w:suppressAutoHyphens w:val="0"/>
              <w:jc w:val="right"/>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0,021</w:t>
            </w:r>
          </w:p>
        </w:tc>
        <w:tc>
          <w:tcPr>
            <w:tcW w:w="1120" w:type="dxa"/>
            <w:tcBorders>
              <w:top w:val="single" w:sz="4" w:space="0" w:color="auto"/>
              <w:bottom w:val="single" w:sz="4" w:space="0" w:color="auto"/>
            </w:tcBorders>
            <w:shd w:val="clear" w:color="auto" w:fill="FFFFFF" w:themeFill="background1"/>
            <w:noWrap/>
            <w:vAlign w:val="center"/>
            <w:hideMark/>
          </w:tcPr>
          <w:p w14:paraId="2DB01B3D" w14:textId="77777777" w:rsidR="00F6132E" w:rsidRPr="00B32ABD" w:rsidRDefault="00F6132E" w:rsidP="00F6132E">
            <w:pPr>
              <w:suppressAutoHyphens w:val="0"/>
              <w:jc w:val="center"/>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20</w:t>
            </w:r>
          </w:p>
        </w:tc>
        <w:tc>
          <w:tcPr>
            <w:tcW w:w="2360" w:type="dxa"/>
            <w:tcBorders>
              <w:top w:val="single" w:sz="4" w:space="0" w:color="auto"/>
              <w:bottom w:val="single" w:sz="4" w:space="0" w:color="auto"/>
            </w:tcBorders>
            <w:shd w:val="clear" w:color="auto" w:fill="FFFFFF" w:themeFill="background1"/>
            <w:vAlign w:val="center"/>
            <w:hideMark/>
          </w:tcPr>
          <w:p w14:paraId="5811B6D2" w14:textId="633CA889" w:rsidR="00E664B8" w:rsidRPr="00B32ABD" w:rsidRDefault="00F6132E" w:rsidP="00E664B8">
            <w:pPr>
              <w:suppressAutoHyphens w:val="0"/>
              <w:rPr>
                <w:rFonts w:ascii="Times New Roman" w:eastAsia="Times New Roman" w:hAnsi="Times New Roman" w:cs="Times New Roman"/>
                <w:kern w:val="0"/>
                <w:sz w:val="22"/>
                <w:szCs w:val="22"/>
                <w:lang w:eastAsia="pt-BR" w:bidi="ar-SA"/>
              </w:rPr>
            </w:pPr>
            <w:r w:rsidRPr="00B32ABD">
              <w:rPr>
                <w:rFonts w:ascii="Times New Roman" w:eastAsia="Times New Roman" w:hAnsi="Times New Roman" w:cs="Times New Roman"/>
                <w:kern w:val="0"/>
                <w:sz w:val="22"/>
                <w:szCs w:val="22"/>
                <w:lang w:eastAsia="pt-BR" w:bidi="ar-SA"/>
              </w:rPr>
              <w:t xml:space="preserve">Rejeitar as hipóteses nulas </w:t>
            </w:r>
            <w:r w:rsidR="002969AB" w:rsidRPr="00B32ABD">
              <w:rPr>
                <w:rFonts w:ascii="Times New Roman" w:eastAsia="Times New Roman" w:hAnsi="Times New Roman" w:cs="Times New Roman"/>
                <w:kern w:val="0"/>
                <w:sz w:val="22"/>
                <w:szCs w:val="22"/>
                <w:lang w:eastAsia="pt-BR" w:bidi="ar-SA"/>
              </w:rPr>
              <w:t>H1</w:t>
            </w:r>
            <w:r w:rsidR="002969AB" w:rsidRPr="00B32ABD">
              <w:rPr>
                <w:rFonts w:ascii="Times New Roman" w:eastAsia="Times New Roman" w:hAnsi="Times New Roman" w:cs="Times New Roman"/>
                <w:kern w:val="0"/>
                <w:sz w:val="22"/>
                <w:szCs w:val="22"/>
                <w:vertAlign w:val="subscript"/>
                <w:lang w:eastAsia="pt-BR" w:bidi="ar-SA"/>
              </w:rPr>
              <w:t>0</w:t>
            </w:r>
            <w:r w:rsidR="002969AB" w:rsidRPr="00B32ABD">
              <w:rPr>
                <w:rFonts w:ascii="Times New Roman" w:eastAsia="Times New Roman" w:hAnsi="Times New Roman" w:cs="Times New Roman"/>
                <w:kern w:val="0"/>
                <w:sz w:val="22"/>
                <w:szCs w:val="22"/>
                <w:lang w:eastAsia="pt-BR" w:bidi="ar-SA"/>
              </w:rPr>
              <w:t xml:space="preserve"> e H2</w:t>
            </w:r>
            <w:r w:rsidR="002969AB" w:rsidRPr="00B32ABD">
              <w:rPr>
                <w:rFonts w:ascii="Times New Roman" w:eastAsia="Times New Roman" w:hAnsi="Times New Roman" w:cs="Times New Roman"/>
                <w:kern w:val="0"/>
                <w:sz w:val="22"/>
                <w:szCs w:val="22"/>
                <w:vertAlign w:val="subscript"/>
                <w:lang w:eastAsia="pt-BR" w:bidi="ar-SA"/>
              </w:rPr>
              <w:t>0</w:t>
            </w:r>
            <w:r w:rsidRPr="00B32ABD">
              <w:rPr>
                <w:rFonts w:ascii="Times New Roman" w:eastAsia="Times New Roman" w:hAnsi="Times New Roman" w:cs="Times New Roman"/>
                <w:kern w:val="0"/>
                <w:sz w:val="22"/>
                <w:szCs w:val="22"/>
                <w:lang w:eastAsia="pt-BR" w:bidi="ar-SA"/>
              </w:rPr>
              <w:t>.</w:t>
            </w:r>
          </w:p>
        </w:tc>
      </w:tr>
    </w:tbl>
    <w:p w14:paraId="64215239" w14:textId="2CB861A4" w:rsidR="00EC55F6" w:rsidRPr="00B32ABD" w:rsidRDefault="00237CFA" w:rsidP="00A1021A">
      <w:pPr>
        <w:pStyle w:val="Corpodetexto"/>
        <w:spacing w:after="120" w:line="240" w:lineRule="auto"/>
        <w:jc w:val="both"/>
        <w:rPr>
          <w:rFonts w:ascii="Times New Roman" w:hAnsi="Times New Roman" w:cs="Times New Roman"/>
          <w:sz w:val="22"/>
          <w:szCs w:val="22"/>
        </w:rPr>
      </w:pPr>
      <w:r w:rsidRPr="00B32ABD">
        <w:rPr>
          <w:rFonts w:ascii="Times New Roman" w:hAnsi="Times New Roman" w:cs="Times New Roman"/>
          <w:sz w:val="22"/>
          <w:szCs w:val="22"/>
        </w:rPr>
        <w:t xml:space="preserve">Fonte: preparado pelos autores, 2020. </w:t>
      </w:r>
    </w:p>
    <w:p w14:paraId="4E26F6BD" w14:textId="695FEC91" w:rsidR="00A1021A" w:rsidRDefault="00681B44"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Nas companhias do setor financeiro a</w:t>
      </w:r>
      <w:r w:rsidR="000F33C1">
        <w:rPr>
          <w:rFonts w:ascii="Times New Roman" w:hAnsi="Times New Roman" w:cs="Times New Roman"/>
        </w:rPr>
        <w:t>s</w:t>
      </w:r>
      <w:r>
        <w:rPr>
          <w:rFonts w:ascii="Times New Roman" w:hAnsi="Times New Roman" w:cs="Times New Roman"/>
        </w:rPr>
        <w:t xml:space="preserve"> hipótese</w:t>
      </w:r>
      <w:r w:rsidR="000F33C1">
        <w:rPr>
          <w:rFonts w:ascii="Times New Roman" w:hAnsi="Times New Roman" w:cs="Times New Roman"/>
        </w:rPr>
        <w:t>s</w:t>
      </w:r>
      <w:r>
        <w:rPr>
          <w:rFonts w:ascii="Times New Roman" w:hAnsi="Times New Roman" w:cs="Times New Roman"/>
        </w:rPr>
        <w:t xml:space="preserve"> nula</w:t>
      </w:r>
      <w:r w:rsidR="000F33C1">
        <w:rPr>
          <w:rFonts w:ascii="Times New Roman" w:hAnsi="Times New Roman" w:cs="Times New Roman"/>
        </w:rPr>
        <w:t>s</w:t>
      </w:r>
      <w:r w:rsidRPr="00681B44">
        <w:rPr>
          <w:rFonts w:ascii="Times New Roman" w:hAnsi="Times New Roman" w:cs="Times New Roman"/>
        </w:rPr>
        <w:t xml:space="preserve"> </w:t>
      </w:r>
      <w:r w:rsidR="000F33C1" w:rsidRPr="00852370">
        <w:rPr>
          <w:rFonts w:ascii="Times New Roman" w:hAnsi="Times New Roman" w:cs="Times New Roman"/>
        </w:rPr>
        <w:t>H</w:t>
      </w:r>
      <w:r w:rsidR="000F33C1">
        <w:rPr>
          <w:rFonts w:ascii="Times New Roman" w:hAnsi="Times New Roman" w:cs="Times New Roman"/>
        </w:rPr>
        <w:t>1</w:t>
      </w:r>
      <w:r w:rsidR="000F33C1" w:rsidRPr="00852370">
        <w:rPr>
          <w:rFonts w:ascii="Times New Roman" w:hAnsi="Times New Roman" w:cs="Times New Roman"/>
          <w:kern w:val="24"/>
          <w:vertAlign w:val="subscript"/>
        </w:rPr>
        <w:t>0</w:t>
      </w:r>
      <w:r w:rsidR="000F33C1">
        <w:rPr>
          <w:rFonts w:ascii="Times New Roman" w:hAnsi="Times New Roman" w:cs="Times New Roman"/>
        </w:rPr>
        <w:t xml:space="preserve"> e </w:t>
      </w:r>
      <w:r w:rsidR="000F33C1" w:rsidRPr="00852370">
        <w:rPr>
          <w:rFonts w:ascii="Times New Roman" w:hAnsi="Times New Roman" w:cs="Times New Roman"/>
        </w:rPr>
        <w:t>H</w:t>
      </w:r>
      <w:r w:rsidR="000F33C1">
        <w:rPr>
          <w:rFonts w:ascii="Times New Roman" w:hAnsi="Times New Roman" w:cs="Times New Roman"/>
        </w:rPr>
        <w:t>2</w:t>
      </w:r>
      <w:r w:rsidR="000F33C1" w:rsidRPr="00852370">
        <w:rPr>
          <w:rFonts w:ascii="Times New Roman" w:hAnsi="Times New Roman" w:cs="Times New Roman"/>
          <w:kern w:val="24"/>
          <w:vertAlign w:val="subscript"/>
        </w:rPr>
        <w:t>0</w:t>
      </w:r>
      <w:r w:rsidR="000F33C1">
        <w:rPr>
          <w:rFonts w:ascii="Times New Roman" w:hAnsi="Times New Roman" w:cs="Times New Roman"/>
          <w:kern w:val="24"/>
          <w:vertAlign w:val="subscript"/>
        </w:rPr>
        <w:t xml:space="preserve"> </w:t>
      </w:r>
      <w:r>
        <w:rPr>
          <w:rFonts w:ascii="Times New Roman" w:hAnsi="Times New Roman" w:cs="Times New Roman"/>
        </w:rPr>
        <w:t>fo</w:t>
      </w:r>
      <w:r w:rsidR="000F33C1">
        <w:rPr>
          <w:rFonts w:ascii="Times New Roman" w:hAnsi="Times New Roman" w:cs="Times New Roman"/>
        </w:rPr>
        <w:t>ram</w:t>
      </w:r>
      <w:r>
        <w:rPr>
          <w:rFonts w:ascii="Times New Roman" w:hAnsi="Times New Roman" w:cs="Times New Roman"/>
        </w:rPr>
        <w:t xml:space="preserve"> </w:t>
      </w:r>
      <w:r w:rsidR="000F33C1">
        <w:rPr>
          <w:rFonts w:ascii="Times New Roman" w:hAnsi="Times New Roman" w:cs="Times New Roman"/>
        </w:rPr>
        <w:t xml:space="preserve">rejeitadas porquanto os </w:t>
      </w:r>
      <w:r w:rsidR="000F33C1" w:rsidRPr="005057A6">
        <w:rPr>
          <w:rFonts w:ascii="Times New Roman" w:hAnsi="Times New Roman" w:cs="Times New Roman"/>
          <w:i/>
          <w:iCs/>
        </w:rPr>
        <w:t>p-</w:t>
      </w:r>
      <w:proofErr w:type="spellStart"/>
      <w:r w:rsidR="000F33C1" w:rsidRPr="005057A6">
        <w:rPr>
          <w:rFonts w:ascii="Times New Roman" w:hAnsi="Times New Roman" w:cs="Times New Roman"/>
          <w:i/>
          <w:iCs/>
        </w:rPr>
        <w:t>value</w:t>
      </w:r>
      <w:proofErr w:type="spellEnd"/>
      <w:r w:rsidR="000F33C1">
        <w:rPr>
          <w:rFonts w:ascii="Times New Roman" w:hAnsi="Times New Roman" w:cs="Times New Roman"/>
        </w:rPr>
        <w:t xml:space="preserve"> resultaram inferiores a 0,05</w:t>
      </w:r>
      <w:r w:rsidR="00977ECC">
        <w:rPr>
          <w:rFonts w:ascii="Times New Roman" w:hAnsi="Times New Roman" w:cs="Times New Roman"/>
        </w:rPr>
        <w:t xml:space="preserve">, de forma </w:t>
      </w:r>
      <w:r w:rsidR="00A1021A">
        <w:rPr>
          <w:rFonts w:ascii="Times New Roman" w:hAnsi="Times New Roman" w:cs="Times New Roman"/>
        </w:rPr>
        <w:t xml:space="preserve">que foi confirmada a ocorrência de </w:t>
      </w:r>
      <w:r w:rsidR="00977ECC">
        <w:rPr>
          <w:rFonts w:ascii="Times New Roman" w:hAnsi="Times New Roman" w:cs="Times New Roman"/>
        </w:rPr>
        <w:t>variação estatisticamente</w:t>
      </w:r>
      <w:r w:rsidR="00A1021A">
        <w:rPr>
          <w:rFonts w:ascii="Times New Roman" w:hAnsi="Times New Roman" w:cs="Times New Roman"/>
        </w:rPr>
        <w:t xml:space="preserve"> significativa</w:t>
      </w:r>
      <w:r w:rsidR="00977ECC">
        <w:rPr>
          <w:rFonts w:ascii="Times New Roman" w:hAnsi="Times New Roman" w:cs="Times New Roman"/>
        </w:rPr>
        <w:t xml:space="preserve"> nas cargas tributárias total e corrente no quinquênio de 2015 a 2019 relativamente a</w:t>
      </w:r>
      <w:r w:rsidR="00B16946">
        <w:rPr>
          <w:rFonts w:ascii="Times New Roman" w:hAnsi="Times New Roman" w:cs="Times New Roman"/>
        </w:rPr>
        <w:t>o período de</w:t>
      </w:r>
      <w:r w:rsidR="00977ECC">
        <w:rPr>
          <w:rFonts w:ascii="Times New Roman" w:hAnsi="Times New Roman" w:cs="Times New Roman"/>
        </w:rPr>
        <w:t xml:space="preserve"> 2010 a 2015</w:t>
      </w:r>
      <w:r w:rsidR="00A1021A">
        <w:rPr>
          <w:rFonts w:ascii="Times New Roman" w:hAnsi="Times New Roman" w:cs="Times New Roman"/>
        </w:rPr>
        <w:t>.</w:t>
      </w:r>
    </w:p>
    <w:p w14:paraId="4915026F" w14:textId="19986526" w:rsidR="00E31DCE" w:rsidRDefault="000F33C1"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 xml:space="preserve">Porém, o </w:t>
      </w:r>
      <w:r w:rsidR="00941B75">
        <w:rPr>
          <w:rFonts w:ascii="Times New Roman" w:hAnsi="Times New Roman" w:cs="Times New Roman"/>
        </w:rPr>
        <w:t>que</w:t>
      </w:r>
      <w:r w:rsidR="00833C67">
        <w:rPr>
          <w:rFonts w:ascii="Times New Roman" w:hAnsi="Times New Roman" w:cs="Times New Roman"/>
        </w:rPr>
        <w:t xml:space="preserve"> mais</w:t>
      </w:r>
      <w:r>
        <w:rPr>
          <w:rFonts w:ascii="Times New Roman" w:hAnsi="Times New Roman" w:cs="Times New Roman"/>
        </w:rPr>
        <w:t xml:space="preserve"> cham</w:t>
      </w:r>
      <w:r w:rsidR="00833C67">
        <w:rPr>
          <w:rFonts w:ascii="Times New Roman" w:hAnsi="Times New Roman" w:cs="Times New Roman"/>
        </w:rPr>
        <w:t>ou</w:t>
      </w:r>
      <w:r>
        <w:rPr>
          <w:rFonts w:ascii="Times New Roman" w:hAnsi="Times New Roman" w:cs="Times New Roman"/>
        </w:rPr>
        <w:t xml:space="preserve"> a atenção </w:t>
      </w:r>
      <w:r w:rsidR="00833C67">
        <w:rPr>
          <w:rFonts w:ascii="Times New Roman" w:hAnsi="Times New Roman" w:cs="Times New Roman"/>
        </w:rPr>
        <w:t>foi</w:t>
      </w:r>
      <w:r>
        <w:rPr>
          <w:rFonts w:ascii="Times New Roman" w:hAnsi="Times New Roman" w:cs="Times New Roman"/>
        </w:rPr>
        <w:t xml:space="preserve"> </w:t>
      </w:r>
      <w:r w:rsidR="00977ECC">
        <w:rPr>
          <w:rFonts w:ascii="Times New Roman" w:hAnsi="Times New Roman" w:cs="Times New Roman"/>
        </w:rPr>
        <w:t xml:space="preserve">que a variação observada nas </w:t>
      </w:r>
      <w:proofErr w:type="spellStart"/>
      <w:r w:rsidR="00977ECC">
        <w:rPr>
          <w:rFonts w:ascii="Times New Roman" w:hAnsi="Times New Roman" w:cs="Times New Roman"/>
        </w:rPr>
        <w:t>CashETRt</w:t>
      </w:r>
      <w:proofErr w:type="spellEnd"/>
      <w:r w:rsidR="00977ECC">
        <w:rPr>
          <w:rFonts w:ascii="Times New Roman" w:hAnsi="Times New Roman" w:cs="Times New Roman"/>
        </w:rPr>
        <w:t xml:space="preserve"> e </w:t>
      </w:r>
      <w:proofErr w:type="spellStart"/>
      <w:r w:rsidR="00977ECC">
        <w:rPr>
          <w:rFonts w:ascii="Times New Roman" w:hAnsi="Times New Roman" w:cs="Times New Roman"/>
        </w:rPr>
        <w:t>CashETRc</w:t>
      </w:r>
      <w:proofErr w:type="spellEnd"/>
      <w:r w:rsidR="00977ECC">
        <w:rPr>
          <w:rFonts w:ascii="Times New Roman" w:hAnsi="Times New Roman" w:cs="Times New Roman"/>
        </w:rPr>
        <w:t xml:space="preserve"> a partir de 2015 não foi no sentido do aumento das cargas tributárias. </w:t>
      </w:r>
      <w:r w:rsidR="00A1021A">
        <w:rPr>
          <w:rFonts w:ascii="Times New Roman" w:hAnsi="Times New Roman" w:cs="Times New Roman"/>
        </w:rPr>
        <w:t xml:space="preserve">Contrariamente ao esperado, os números mostraram </w:t>
      </w:r>
      <w:r w:rsidR="00977ECC">
        <w:rPr>
          <w:rFonts w:ascii="Times New Roman" w:hAnsi="Times New Roman" w:cs="Times New Roman"/>
        </w:rPr>
        <w:t xml:space="preserve">uma </w:t>
      </w:r>
      <w:r w:rsidR="00E53F4A">
        <w:rPr>
          <w:rFonts w:ascii="Times New Roman" w:hAnsi="Times New Roman" w:cs="Times New Roman"/>
        </w:rPr>
        <w:t xml:space="preserve">redução </w:t>
      </w:r>
      <w:r w:rsidR="00977ECC">
        <w:rPr>
          <w:rFonts w:ascii="Times New Roman" w:hAnsi="Times New Roman" w:cs="Times New Roman"/>
        </w:rPr>
        <w:t>d</w:t>
      </w:r>
      <w:r w:rsidR="00E53F4A">
        <w:rPr>
          <w:rFonts w:ascii="Times New Roman" w:hAnsi="Times New Roman" w:cs="Times New Roman"/>
        </w:rPr>
        <w:t xml:space="preserve">as </w:t>
      </w:r>
      <w:proofErr w:type="spellStart"/>
      <w:r w:rsidR="00E53F4A">
        <w:rPr>
          <w:rFonts w:ascii="Times New Roman" w:hAnsi="Times New Roman" w:cs="Times New Roman"/>
        </w:rPr>
        <w:t>CashETRc</w:t>
      </w:r>
      <w:proofErr w:type="spellEnd"/>
      <w:r w:rsidR="00E53F4A">
        <w:rPr>
          <w:rFonts w:ascii="Times New Roman" w:hAnsi="Times New Roman" w:cs="Times New Roman"/>
        </w:rPr>
        <w:t xml:space="preserve"> e </w:t>
      </w:r>
      <w:proofErr w:type="spellStart"/>
      <w:r w:rsidR="00E53F4A">
        <w:rPr>
          <w:rFonts w:ascii="Times New Roman" w:hAnsi="Times New Roman" w:cs="Times New Roman"/>
        </w:rPr>
        <w:t>CashETRt</w:t>
      </w:r>
      <w:proofErr w:type="spellEnd"/>
      <w:r w:rsidR="00E53F4A">
        <w:rPr>
          <w:rFonts w:ascii="Times New Roman" w:hAnsi="Times New Roman" w:cs="Times New Roman"/>
        </w:rPr>
        <w:t xml:space="preserve"> </w:t>
      </w:r>
      <w:r w:rsidR="00833C67">
        <w:rPr>
          <w:rFonts w:ascii="Times New Roman" w:hAnsi="Times New Roman" w:cs="Times New Roman"/>
        </w:rPr>
        <w:t>emparelhadas</w:t>
      </w:r>
      <w:r>
        <w:rPr>
          <w:rFonts w:ascii="Times New Roman" w:hAnsi="Times New Roman" w:cs="Times New Roman"/>
        </w:rPr>
        <w:t xml:space="preserve"> </w:t>
      </w:r>
      <w:r w:rsidR="00E53F4A">
        <w:rPr>
          <w:rFonts w:ascii="Times New Roman" w:hAnsi="Times New Roman" w:cs="Times New Roman"/>
        </w:rPr>
        <w:t>em 14 das 20 companhias pesquisadas</w:t>
      </w:r>
      <w:r w:rsidR="00977ECC">
        <w:rPr>
          <w:rFonts w:ascii="Times New Roman" w:hAnsi="Times New Roman" w:cs="Times New Roman"/>
        </w:rPr>
        <w:t xml:space="preserve"> do setor financeiro (bancos, seguradoras e outros serviços congêneres)</w:t>
      </w:r>
      <w:r w:rsidR="00E53F4A">
        <w:rPr>
          <w:rFonts w:ascii="Times New Roman" w:hAnsi="Times New Roman" w:cs="Times New Roman"/>
        </w:rPr>
        <w:t xml:space="preserve">, </w:t>
      </w:r>
      <w:r w:rsidR="00833C67">
        <w:rPr>
          <w:rFonts w:ascii="Times New Roman" w:hAnsi="Times New Roman" w:cs="Times New Roman"/>
        </w:rPr>
        <w:t>muito embora tenha ocorrido a majoração das alíquotas</w:t>
      </w:r>
      <w:r w:rsidR="0088701D">
        <w:rPr>
          <w:rFonts w:ascii="Times New Roman" w:hAnsi="Times New Roman" w:cs="Times New Roman"/>
        </w:rPr>
        <w:t xml:space="preserve"> nominais</w:t>
      </w:r>
      <w:r w:rsidR="00833C67">
        <w:rPr>
          <w:rFonts w:ascii="Times New Roman" w:hAnsi="Times New Roman" w:cs="Times New Roman"/>
        </w:rPr>
        <w:t xml:space="preserve"> d</w:t>
      </w:r>
      <w:r w:rsidR="0088701D">
        <w:rPr>
          <w:rFonts w:ascii="Times New Roman" w:hAnsi="Times New Roman" w:cs="Times New Roman"/>
        </w:rPr>
        <w:t>a</w:t>
      </w:r>
      <w:r w:rsidR="00833C67">
        <w:rPr>
          <w:rFonts w:ascii="Times New Roman" w:hAnsi="Times New Roman" w:cs="Times New Roman"/>
        </w:rPr>
        <w:t xml:space="preserve"> CSLL</w:t>
      </w:r>
      <w:r w:rsidR="0088701D">
        <w:rPr>
          <w:rFonts w:ascii="Times New Roman" w:hAnsi="Times New Roman" w:cs="Times New Roman"/>
        </w:rPr>
        <w:t>, de 15% para 20%, de</w:t>
      </w:r>
      <w:r w:rsidR="00833C67">
        <w:rPr>
          <w:rFonts w:ascii="Times New Roman" w:hAnsi="Times New Roman" w:cs="Times New Roman"/>
        </w:rPr>
        <w:t xml:space="preserve"> </w:t>
      </w:r>
      <w:r w:rsidR="0088701D">
        <w:rPr>
          <w:rFonts w:ascii="Times New Roman" w:hAnsi="Times New Roman" w:cs="Times New Roman"/>
        </w:rPr>
        <w:t xml:space="preserve">setembro de </w:t>
      </w:r>
      <w:r w:rsidR="00833C67">
        <w:rPr>
          <w:rFonts w:ascii="Times New Roman" w:hAnsi="Times New Roman" w:cs="Times New Roman"/>
        </w:rPr>
        <w:t>2015</w:t>
      </w:r>
      <w:r w:rsidR="0088701D">
        <w:rPr>
          <w:rFonts w:ascii="Times New Roman" w:hAnsi="Times New Roman" w:cs="Times New Roman"/>
        </w:rPr>
        <w:t xml:space="preserve"> a dezembro de 2018</w:t>
      </w:r>
      <w:r w:rsidR="0068366E">
        <w:rPr>
          <w:rFonts w:ascii="Times New Roman" w:hAnsi="Times New Roman" w:cs="Times New Roman"/>
        </w:rPr>
        <w:t xml:space="preserve">. </w:t>
      </w:r>
    </w:p>
    <w:p w14:paraId="27DE70B6" w14:textId="27FEBCB1" w:rsidR="00977ECC" w:rsidRDefault="00977ECC" w:rsidP="0010625B">
      <w:pPr>
        <w:pStyle w:val="Corpodetexto"/>
        <w:spacing w:after="120" w:line="240" w:lineRule="auto"/>
        <w:jc w:val="both"/>
        <w:rPr>
          <w:rFonts w:ascii="Times New Roman" w:hAnsi="Times New Roman" w:cs="Times New Roman"/>
        </w:rPr>
      </w:pPr>
    </w:p>
    <w:p w14:paraId="7299A4F2" w14:textId="77777777" w:rsidR="001D0599" w:rsidRPr="00681B44" w:rsidRDefault="001D0599" w:rsidP="0010625B">
      <w:pPr>
        <w:pStyle w:val="Corpodetexto"/>
        <w:spacing w:after="120" w:line="240" w:lineRule="auto"/>
        <w:jc w:val="both"/>
        <w:rPr>
          <w:rFonts w:ascii="Times New Roman" w:hAnsi="Times New Roman" w:cs="Times New Roman"/>
        </w:rPr>
      </w:pPr>
    </w:p>
    <w:p w14:paraId="6D5C465F" w14:textId="7910385D" w:rsidR="00073A36" w:rsidRDefault="000D3EFE" w:rsidP="0010625B">
      <w:pPr>
        <w:pStyle w:val="Corpodetexto"/>
        <w:spacing w:after="120" w:line="240" w:lineRule="auto"/>
        <w:jc w:val="both"/>
        <w:rPr>
          <w:rFonts w:ascii="Times New Roman" w:hAnsi="Times New Roman" w:cs="Times New Roman"/>
          <w:b/>
          <w:bCs/>
        </w:rPr>
      </w:pPr>
      <w:r>
        <w:rPr>
          <w:rFonts w:ascii="Times New Roman" w:hAnsi="Times New Roman" w:cs="Times New Roman"/>
          <w:b/>
          <w:bCs/>
        </w:rPr>
        <w:t>5</w:t>
      </w:r>
      <w:r w:rsidR="00073A36" w:rsidRPr="006004A3">
        <w:rPr>
          <w:rFonts w:ascii="Times New Roman" w:hAnsi="Times New Roman" w:cs="Times New Roman"/>
          <w:b/>
          <w:bCs/>
        </w:rPr>
        <w:t xml:space="preserve"> </w:t>
      </w:r>
      <w:r w:rsidR="00711F0E" w:rsidRPr="006004A3">
        <w:rPr>
          <w:rFonts w:ascii="Times New Roman" w:hAnsi="Times New Roman" w:cs="Times New Roman"/>
          <w:b/>
          <w:bCs/>
        </w:rPr>
        <w:t>CONCLUSÕES</w:t>
      </w:r>
    </w:p>
    <w:p w14:paraId="7E4F3C26" w14:textId="77777777" w:rsidR="0041278D" w:rsidRPr="006004A3" w:rsidRDefault="0041278D" w:rsidP="0010625B">
      <w:pPr>
        <w:pStyle w:val="Corpodetexto"/>
        <w:spacing w:after="120" w:line="240" w:lineRule="auto"/>
        <w:jc w:val="both"/>
        <w:rPr>
          <w:rFonts w:ascii="Times New Roman" w:hAnsi="Times New Roman" w:cs="Times New Roman"/>
          <w:b/>
          <w:bCs/>
        </w:rPr>
      </w:pPr>
    </w:p>
    <w:p w14:paraId="763057E6" w14:textId="6FE2033F" w:rsidR="00735D5A" w:rsidRDefault="00735D5A"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 xml:space="preserve">Nos setores não financeiros – comércio, indústria, serviços e exploração de imóveis – o teste de </w:t>
      </w:r>
      <w:proofErr w:type="spellStart"/>
      <w:r w:rsidRPr="005E1876">
        <w:rPr>
          <w:rFonts w:ascii="Times New Roman" w:hAnsi="Times New Roman" w:cs="Times New Roman"/>
        </w:rPr>
        <w:t>Wilcoxon</w:t>
      </w:r>
      <w:proofErr w:type="spellEnd"/>
      <w:r>
        <w:rPr>
          <w:rFonts w:ascii="Times New Roman" w:hAnsi="Times New Roman" w:cs="Times New Roman"/>
        </w:rPr>
        <w:t xml:space="preserve"> demonstrou a inexistência de diferença estatisticamente significativa para a</w:t>
      </w:r>
      <w:r w:rsidR="00F60C65">
        <w:rPr>
          <w:rFonts w:ascii="Times New Roman" w:hAnsi="Times New Roman" w:cs="Times New Roman"/>
        </w:rPr>
        <w:t>s</w:t>
      </w:r>
      <w:r>
        <w:rPr>
          <w:rFonts w:ascii="Times New Roman" w:hAnsi="Times New Roman" w:cs="Times New Roman"/>
        </w:rPr>
        <w:t xml:space="preserve"> variáve</w:t>
      </w:r>
      <w:r w:rsidR="00F60C65">
        <w:rPr>
          <w:rFonts w:ascii="Times New Roman" w:hAnsi="Times New Roman" w:cs="Times New Roman"/>
        </w:rPr>
        <w:t>is</w:t>
      </w:r>
      <w:r>
        <w:rPr>
          <w:rFonts w:ascii="Times New Roman" w:hAnsi="Times New Roman" w:cs="Times New Roman"/>
        </w:rPr>
        <w:t xml:space="preserve"> </w:t>
      </w:r>
      <w:proofErr w:type="spellStart"/>
      <w:r>
        <w:rPr>
          <w:rFonts w:ascii="Times New Roman" w:hAnsi="Times New Roman" w:cs="Times New Roman"/>
        </w:rPr>
        <w:t>CashETRt</w:t>
      </w:r>
      <w:proofErr w:type="spellEnd"/>
      <w:r>
        <w:rPr>
          <w:rFonts w:ascii="Times New Roman" w:hAnsi="Times New Roman" w:cs="Times New Roman"/>
        </w:rPr>
        <w:t xml:space="preserve"> </w:t>
      </w:r>
      <w:r w:rsidR="00F60C65">
        <w:rPr>
          <w:rFonts w:ascii="Times New Roman" w:hAnsi="Times New Roman" w:cs="Times New Roman"/>
        </w:rPr>
        <w:t xml:space="preserve">e </w:t>
      </w:r>
      <w:proofErr w:type="spellStart"/>
      <w:r w:rsidR="00F60C65">
        <w:rPr>
          <w:rFonts w:ascii="Times New Roman" w:hAnsi="Times New Roman" w:cs="Times New Roman"/>
        </w:rPr>
        <w:t>CashETRc</w:t>
      </w:r>
      <w:proofErr w:type="spellEnd"/>
      <w:r w:rsidR="00F60C65">
        <w:rPr>
          <w:rFonts w:ascii="Times New Roman" w:hAnsi="Times New Roman" w:cs="Times New Roman"/>
        </w:rPr>
        <w:t xml:space="preserve"> </w:t>
      </w:r>
      <w:r>
        <w:rPr>
          <w:rFonts w:ascii="Times New Roman" w:hAnsi="Times New Roman" w:cs="Times New Roman"/>
        </w:rPr>
        <w:t>nos quinquênios comparados, o que implicou a retenção da</w:t>
      </w:r>
      <w:r w:rsidR="00F60C65">
        <w:rPr>
          <w:rFonts w:ascii="Times New Roman" w:hAnsi="Times New Roman" w:cs="Times New Roman"/>
        </w:rPr>
        <w:t>s</w:t>
      </w:r>
      <w:r>
        <w:rPr>
          <w:rFonts w:ascii="Times New Roman" w:hAnsi="Times New Roman" w:cs="Times New Roman"/>
        </w:rPr>
        <w:t xml:space="preserve"> hipótese</w:t>
      </w:r>
      <w:r w:rsidR="00F60C65">
        <w:rPr>
          <w:rFonts w:ascii="Times New Roman" w:hAnsi="Times New Roman" w:cs="Times New Roman"/>
        </w:rPr>
        <w:t>s</w:t>
      </w:r>
      <w:r>
        <w:rPr>
          <w:rFonts w:ascii="Times New Roman" w:hAnsi="Times New Roman" w:cs="Times New Roman"/>
        </w:rPr>
        <w:t xml:space="preserve"> nula</w:t>
      </w:r>
      <w:r w:rsidR="00F60C65">
        <w:rPr>
          <w:rFonts w:ascii="Times New Roman" w:hAnsi="Times New Roman" w:cs="Times New Roman"/>
        </w:rPr>
        <w:t>s</w:t>
      </w:r>
      <w:r>
        <w:rPr>
          <w:rFonts w:ascii="Times New Roman" w:hAnsi="Times New Roman" w:cs="Times New Roman"/>
        </w:rPr>
        <w:t xml:space="preserve"> H1</w:t>
      </w:r>
      <w:r w:rsidRPr="00E74D20">
        <w:rPr>
          <w:rFonts w:ascii="Times New Roman" w:hAnsi="Times New Roman" w:cs="Times New Roman"/>
          <w:kern w:val="24"/>
          <w:vertAlign w:val="subscript"/>
        </w:rPr>
        <w:t>0</w:t>
      </w:r>
      <w:r w:rsidR="00F60C65">
        <w:rPr>
          <w:rFonts w:ascii="Times New Roman" w:hAnsi="Times New Roman" w:cs="Times New Roman"/>
        </w:rPr>
        <w:t xml:space="preserve"> e H2</w:t>
      </w:r>
      <w:r w:rsidR="00F60C65" w:rsidRPr="00E74D20">
        <w:rPr>
          <w:rFonts w:ascii="Times New Roman" w:hAnsi="Times New Roman" w:cs="Times New Roman"/>
          <w:kern w:val="24"/>
          <w:vertAlign w:val="subscript"/>
        </w:rPr>
        <w:t>0</w:t>
      </w:r>
      <w:r w:rsidR="00F60C65">
        <w:rPr>
          <w:rFonts w:ascii="Times New Roman" w:hAnsi="Times New Roman" w:cs="Times New Roman"/>
        </w:rPr>
        <w:t xml:space="preserve">, </w:t>
      </w:r>
      <w:r w:rsidR="00833C67">
        <w:rPr>
          <w:rFonts w:ascii="Times New Roman" w:hAnsi="Times New Roman" w:cs="Times New Roman"/>
        </w:rPr>
        <w:t>a</w:t>
      </w:r>
      <w:r w:rsidR="0013745E">
        <w:rPr>
          <w:rFonts w:ascii="Times New Roman" w:hAnsi="Times New Roman" w:cs="Times New Roman"/>
        </w:rPr>
        <w:t xml:space="preserve">o nível de significância de 5%. </w:t>
      </w:r>
      <w:r w:rsidR="00E74D20">
        <w:rPr>
          <w:rFonts w:ascii="Times New Roman" w:hAnsi="Times New Roman" w:cs="Times New Roman"/>
        </w:rPr>
        <w:t>A partir dessa constatação, a</w:t>
      </w:r>
      <w:r>
        <w:rPr>
          <w:rFonts w:ascii="Times New Roman" w:hAnsi="Times New Roman" w:cs="Times New Roman"/>
        </w:rPr>
        <w:t xml:space="preserve"> conclusão é a de que </w:t>
      </w:r>
      <w:r w:rsidR="006006E2">
        <w:rPr>
          <w:rFonts w:ascii="Times New Roman" w:hAnsi="Times New Roman" w:cs="Times New Roman"/>
        </w:rPr>
        <w:t xml:space="preserve">o regime fiscal da Lei nº 12.973/2014 foi neutro na tributação do IRPJ e da CSLL na comparação com o Regime Tributário de Transição – RTT, </w:t>
      </w:r>
      <w:r>
        <w:rPr>
          <w:rFonts w:ascii="Times New Roman" w:hAnsi="Times New Roman" w:cs="Times New Roman"/>
        </w:rPr>
        <w:t xml:space="preserve">não </w:t>
      </w:r>
      <w:r w:rsidR="006006E2">
        <w:rPr>
          <w:rFonts w:ascii="Times New Roman" w:hAnsi="Times New Roman" w:cs="Times New Roman"/>
        </w:rPr>
        <w:t xml:space="preserve">tendo sido </w:t>
      </w:r>
      <w:r>
        <w:rPr>
          <w:rFonts w:ascii="Times New Roman" w:hAnsi="Times New Roman" w:cs="Times New Roman"/>
        </w:rPr>
        <w:t xml:space="preserve">obtida evidência </w:t>
      </w:r>
      <w:r w:rsidR="005E1876">
        <w:rPr>
          <w:rFonts w:ascii="Times New Roman" w:hAnsi="Times New Roman" w:cs="Times New Roman"/>
        </w:rPr>
        <w:t>estatística</w:t>
      </w:r>
      <w:r>
        <w:rPr>
          <w:rFonts w:ascii="Times New Roman" w:hAnsi="Times New Roman" w:cs="Times New Roman"/>
        </w:rPr>
        <w:t xml:space="preserve"> </w:t>
      </w:r>
      <w:r w:rsidR="006006E2">
        <w:rPr>
          <w:rFonts w:ascii="Times New Roman" w:hAnsi="Times New Roman" w:cs="Times New Roman"/>
        </w:rPr>
        <w:t>de</w:t>
      </w:r>
      <w:r>
        <w:rPr>
          <w:rFonts w:ascii="Times New Roman" w:hAnsi="Times New Roman" w:cs="Times New Roman"/>
        </w:rPr>
        <w:t xml:space="preserve"> alteração na</w:t>
      </w:r>
      <w:r w:rsidR="00F60C65">
        <w:rPr>
          <w:rFonts w:ascii="Times New Roman" w:hAnsi="Times New Roman" w:cs="Times New Roman"/>
        </w:rPr>
        <w:t>s</w:t>
      </w:r>
      <w:r>
        <w:rPr>
          <w:rFonts w:ascii="Times New Roman" w:hAnsi="Times New Roman" w:cs="Times New Roman"/>
        </w:rPr>
        <w:t xml:space="preserve"> carga</w:t>
      </w:r>
      <w:r w:rsidR="00F60C65">
        <w:rPr>
          <w:rFonts w:ascii="Times New Roman" w:hAnsi="Times New Roman" w:cs="Times New Roman"/>
        </w:rPr>
        <w:t>s</w:t>
      </w:r>
      <w:r>
        <w:rPr>
          <w:rFonts w:ascii="Times New Roman" w:hAnsi="Times New Roman" w:cs="Times New Roman"/>
        </w:rPr>
        <w:t xml:space="preserve"> tributária</w:t>
      </w:r>
      <w:r w:rsidR="00F60C65">
        <w:rPr>
          <w:rFonts w:ascii="Times New Roman" w:hAnsi="Times New Roman" w:cs="Times New Roman"/>
        </w:rPr>
        <w:t>s</w:t>
      </w:r>
      <w:r>
        <w:rPr>
          <w:rFonts w:ascii="Times New Roman" w:hAnsi="Times New Roman" w:cs="Times New Roman"/>
        </w:rPr>
        <w:t xml:space="preserve"> total</w:t>
      </w:r>
      <w:r w:rsidR="00F60C65">
        <w:rPr>
          <w:rFonts w:ascii="Times New Roman" w:hAnsi="Times New Roman" w:cs="Times New Roman"/>
        </w:rPr>
        <w:t xml:space="preserve"> ou corrente</w:t>
      </w:r>
      <w:r>
        <w:rPr>
          <w:rFonts w:ascii="Times New Roman" w:hAnsi="Times New Roman" w:cs="Times New Roman"/>
        </w:rPr>
        <w:t xml:space="preserve"> </w:t>
      </w:r>
      <w:r w:rsidR="00F60C65">
        <w:rPr>
          <w:rFonts w:ascii="Times New Roman" w:hAnsi="Times New Roman" w:cs="Times New Roman"/>
        </w:rPr>
        <w:t xml:space="preserve">calculadas </w:t>
      </w:r>
      <w:r>
        <w:rPr>
          <w:rFonts w:ascii="Times New Roman" w:hAnsi="Times New Roman" w:cs="Times New Roman"/>
        </w:rPr>
        <w:t>nas companhias pesquisadas</w:t>
      </w:r>
      <w:r w:rsidR="00E74D20">
        <w:rPr>
          <w:rFonts w:ascii="Times New Roman" w:hAnsi="Times New Roman" w:cs="Times New Roman"/>
        </w:rPr>
        <w:t xml:space="preserve">, </w:t>
      </w:r>
      <w:r w:rsidR="00E31DCE">
        <w:rPr>
          <w:rFonts w:ascii="Times New Roman" w:hAnsi="Times New Roman" w:cs="Times New Roman"/>
        </w:rPr>
        <w:t>entre os</w:t>
      </w:r>
      <w:r w:rsidR="00891C84">
        <w:rPr>
          <w:rFonts w:ascii="Times New Roman" w:hAnsi="Times New Roman" w:cs="Times New Roman"/>
        </w:rPr>
        <w:t xml:space="preserve"> quinquênios de 2015 a 2019 e 2010 a 2014</w:t>
      </w:r>
      <w:r>
        <w:rPr>
          <w:rFonts w:ascii="Times New Roman" w:hAnsi="Times New Roman" w:cs="Times New Roman"/>
        </w:rPr>
        <w:t>.</w:t>
      </w:r>
    </w:p>
    <w:p w14:paraId="23ED84BA" w14:textId="4CA3756E" w:rsidR="00E74D20" w:rsidRDefault="00E74D20"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 xml:space="preserve">É de se notar que os </w:t>
      </w:r>
      <w:r w:rsidRPr="00E74D20">
        <w:rPr>
          <w:rFonts w:ascii="Times New Roman" w:hAnsi="Times New Roman" w:cs="Times New Roman"/>
          <w:i/>
          <w:iCs/>
        </w:rPr>
        <w:t>p-</w:t>
      </w:r>
      <w:proofErr w:type="spellStart"/>
      <w:r w:rsidRPr="00E74D20">
        <w:rPr>
          <w:rFonts w:ascii="Times New Roman" w:hAnsi="Times New Roman" w:cs="Times New Roman"/>
          <w:i/>
          <w:iCs/>
        </w:rPr>
        <w:t>value</w:t>
      </w:r>
      <w:proofErr w:type="spellEnd"/>
      <w:r>
        <w:rPr>
          <w:rFonts w:ascii="Times New Roman" w:hAnsi="Times New Roman" w:cs="Times New Roman"/>
        </w:rPr>
        <w:t xml:space="preserve"> da variável </w:t>
      </w:r>
      <w:proofErr w:type="spellStart"/>
      <w:r>
        <w:rPr>
          <w:rFonts w:ascii="Times New Roman" w:hAnsi="Times New Roman" w:cs="Times New Roman"/>
        </w:rPr>
        <w:t>CashETRc</w:t>
      </w:r>
      <w:proofErr w:type="spellEnd"/>
      <w:r>
        <w:rPr>
          <w:rFonts w:ascii="Times New Roman" w:hAnsi="Times New Roman" w:cs="Times New Roman"/>
        </w:rPr>
        <w:t xml:space="preserve"> result</w:t>
      </w:r>
      <w:r w:rsidR="0013745E">
        <w:rPr>
          <w:rFonts w:ascii="Times New Roman" w:hAnsi="Times New Roman" w:cs="Times New Roman"/>
        </w:rPr>
        <w:t>aram</w:t>
      </w:r>
      <w:r>
        <w:rPr>
          <w:rFonts w:ascii="Times New Roman" w:hAnsi="Times New Roman" w:cs="Times New Roman"/>
        </w:rPr>
        <w:t xml:space="preserve"> menor</w:t>
      </w:r>
      <w:r w:rsidR="0013745E">
        <w:rPr>
          <w:rFonts w:ascii="Times New Roman" w:hAnsi="Times New Roman" w:cs="Times New Roman"/>
        </w:rPr>
        <w:t>es</w:t>
      </w:r>
      <w:r>
        <w:rPr>
          <w:rFonts w:ascii="Times New Roman" w:hAnsi="Times New Roman" w:cs="Times New Roman"/>
        </w:rPr>
        <w:t xml:space="preserve"> que os </w:t>
      </w:r>
      <w:r w:rsidRPr="00E74D20">
        <w:rPr>
          <w:rFonts w:ascii="Times New Roman" w:hAnsi="Times New Roman" w:cs="Times New Roman"/>
          <w:i/>
          <w:iCs/>
        </w:rPr>
        <w:t>p-</w:t>
      </w:r>
      <w:proofErr w:type="spellStart"/>
      <w:r w:rsidRPr="00E74D20">
        <w:rPr>
          <w:rFonts w:ascii="Times New Roman" w:hAnsi="Times New Roman" w:cs="Times New Roman"/>
          <w:i/>
          <w:iCs/>
        </w:rPr>
        <w:t>value</w:t>
      </w:r>
      <w:proofErr w:type="spellEnd"/>
      <w:r>
        <w:rPr>
          <w:rFonts w:ascii="Times New Roman" w:hAnsi="Times New Roman" w:cs="Times New Roman"/>
        </w:rPr>
        <w:t xml:space="preserve"> da variável </w:t>
      </w:r>
      <w:proofErr w:type="spellStart"/>
      <w:r>
        <w:rPr>
          <w:rFonts w:ascii="Times New Roman" w:hAnsi="Times New Roman" w:cs="Times New Roman"/>
        </w:rPr>
        <w:t>CashETRt</w:t>
      </w:r>
      <w:proofErr w:type="spellEnd"/>
      <w:r>
        <w:rPr>
          <w:rFonts w:ascii="Times New Roman" w:hAnsi="Times New Roman" w:cs="Times New Roman"/>
        </w:rPr>
        <w:t xml:space="preserve"> </w:t>
      </w:r>
      <w:r w:rsidR="0013745E">
        <w:rPr>
          <w:rFonts w:ascii="Times New Roman" w:hAnsi="Times New Roman" w:cs="Times New Roman"/>
        </w:rPr>
        <w:t>em todos os setores</w:t>
      </w:r>
      <w:r>
        <w:rPr>
          <w:rFonts w:ascii="Times New Roman" w:hAnsi="Times New Roman" w:cs="Times New Roman"/>
        </w:rPr>
        <w:t xml:space="preserve">. </w:t>
      </w:r>
      <w:r w:rsidR="00FF0234">
        <w:rPr>
          <w:rFonts w:ascii="Times New Roman" w:hAnsi="Times New Roman" w:cs="Times New Roman"/>
        </w:rPr>
        <w:t xml:space="preserve">Isso indica que as variações na tributação total incidente sobre o lucro foram menores do que as </w:t>
      </w:r>
      <w:r w:rsidR="00F60C65">
        <w:rPr>
          <w:rFonts w:ascii="Times New Roman" w:hAnsi="Times New Roman" w:cs="Times New Roman"/>
        </w:rPr>
        <w:t xml:space="preserve">correspondentes </w:t>
      </w:r>
      <w:r w:rsidR="00FF0234">
        <w:rPr>
          <w:rFonts w:ascii="Times New Roman" w:hAnsi="Times New Roman" w:cs="Times New Roman"/>
        </w:rPr>
        <w:t xml:space="preserve">variações correntes, conforme era esperado dado o aumento do rol </w:t>
      </w:r>
      <w:r w:rsidR="00FF0234" w:rsidRPr="00326E42">
        <w:rPr>
          <w:rFonts w:ascii="Times New Roman" w:hAnsi="Times New Roman" w:cs="Times New Roman"/>
        </w:rPr>
        <w:t xml:space="preserve">de diferenças temporárias </w:t>
      </w:r>
      <w:r w:rsidR="006006E2">
        <w:rPr>
          <w:rFonts w:ascii="Times New Roman" w:hAnsi="Times New Roman" w:cs="Times New Roman"/>
        </w:rPr>
        <w:t>a partir da vigência da</w:t>
      </w:r>
      <w:r w:rsidR="00FF0234">
        <w:rPr>
          <w:rFonts w:ascii="Times New Roman" w:hAnsi="Times New Roman" w:cs="Times New Roman"/>
        </w:rPr>
        <w:t xml:space="preserve"> </w:t>
      </w:r>
      <w:r w:rsidR="00FF0234" w:rsidRPr="00326E42">
        <w:rPr>
          <w:rFonts w:ascii="Times New Roman" w:hAnsi="Times New Roman" w:cs="Times New Roman"/>
        </w:rPr>
        <w:t xml:space="preserve">pela Lei </w:t>
      </w:r>
      <w:r w:rsidR="00F60C65">
        <w:rPr>
          <w:rFonts w:ascii="Times New Roman" w:hAnsi="Times New Roman" w:cs="Times New Roman"/>
        </w:rPr>
        <w:t xml:space="preserve">nº </w:t>
      </w:r>
      <w:r w:rsidR="00FF0234" w:rsidRPr="00326E42">
        <w:rPr>
          <w:rFonts w:ascii="Times New Roman" w:hAnsi="Times New Roman" w:cs="Times New Roman"/>
        </w:rPr>
        <w:t>12.973/2014</w:t>
      </w:r>
      <w:r w:rsidR="006006E2">
        <w:rPr>
          <w:rFonts w:ascii="Times New Roman" w:hAnsi="Times New Roman" w:cs="Times New Roman"/>
        </w:rPr>
        <w:t>, em 1º da janeiro de 2015</w:t>
      </w:r>
      <w:r w:rsidR="00FF0234">
        <w:rPr>
          <w:rFonts w:ascii="Times New Roman" w:hAnsi="Times New Roman" w:cs="Times New Roman"/>
        </w:rPr>
        <w:t>. Ao</w:t>
      </w:r>
      <w:r w:rsidRPr="005057A6">
        <w:rPr>
          <w:rFonts w:ascii="Times New Roman" w:hAnsi="Times New Roman" w:cs="Times New Roman"/>
        </w:rPr>
        <w:t xml:space="preserve"> nível de significância </w:t>
      </w:r>
      <w:r w:rsidR="00FF0234">
        <w:rPr>
          <w:rFonts w:ascii="Times New Roman" w:hAnsi="Times New Roman" w:cs="Times New Roman"/>
        </w:rPr>
        <w:t>de</w:t>
      </w:r>
      <w:r w:rsidRPr="005057A6">
        <w:rPr>
          <w:rFonts w:ascii="Times New Roman" w:hAnsi="Times New Roman" w:cs="Times New Roman"/>
        </w:rPr>
        <w:t xml:space="preserve"> 10%, </w:t>
      </w:r>
      <w:r w:rsidR="00891C84" w:rsidRPr="005057A6">
        <w:rPr>
          <w:rFonts w:ascii="Times New Roman" w:hAnsi="Times New Roman" w:cs="Times New Roman"/>
        </w:rPr>
        <w:t xml:space="preserve">seria possível </w:t>
      </w:r>
      <w:r w:rsidR="0013745E" w:rsidRPr="005057A6">
        <w:rPr>
          <w:rFonts w:ascii="Times New Roman" w:hAnsi="Times New Roman" w:cs="Times New Roman"/>
        </w:rPr>
        <w:t xml:space="preserve">concluir </w:t>
      </w:r>
      <w:r w:rsidRPr="005057A6">
        <w:rPr>
          <w:rFonts w:ascii="Times New Roman" w:hAnsi="Times New Roman" w:cs="Times New Roman"/>
        </w:rPr>
        <w:t xml:space="preserve">que a variável </w:t>
      </w:r>
      <w:proofErr w:type="spellStart"/>
      <w:r w:rsidRPr="005057A6">
        <w:rPr>
          <w:rFonts w:ascii="Times New Roman" w:hAnsi="Times New Roman" w:cs="Times New Roman"/>
        </w:rPr>
        <w:t>CashETRc</w:t>
      </w:r>
      <w:proofErr w:type="spellEnd"/>
      <w:r w:rsidRPr="005057A6">
        <w:rPr>
          <w:rFonts w:ascii="Times New Roman" w:hAnsi="Times New Roman" w:cs="Times New Roman"/>
        </w:rPr>
        <w:t xml:space="preserve"> apresentou </w:t>
      </w:r>
      <w:r w:rsidR="0013745E" w:rsidRPr="005057A6">
        <w:rPr>
          <w:rFonts w:ascii="Times New Roman" w:hAnsi="Times New Roman" w:cs="Times New Roman"/>
        </w:rPr>
        <w:t>diferença</w:t>
      </w:r>
      <w:r w:rsidRPr="005057A6">
        <w:rPr>
          <w:rFonts w:ascii="Times New Roman" w:hAnsi="Times New Roman" w:cs="Times New Roman"/>
        </w:rPr>
        <w:t xml:space="preserve"> estatisticamente significativa</w:t>
      </w:r>
      <w:r w:rsidR="0013745E" w:rsidRPr="005057A6">
        <w:rPr>
          <w:rFonts w:ascii="Times New Roman" w:hAnsi="Times New Roman" w:cs="Times New Roman"/>
        </w:rPr>
        <w:t xml:space="preserve"> </w:t>
      </w:r>
      <w:r w:rsidR="00941B75">
        <w:rPr>
          <w:rFonts w:ascii="Times New Roman" w:hAnsi="Times New Roman" w:cs="Times New Roman"/>
        </w:rPr>
        <w:t xml:space="preserve">entre os quinquênios </w:t>
      </w:r>
      <w:r w:rsidR="0013745E" w:rsidRPr="005057A6">
        <w:rPr>
          <w:rFonts w:ascii="Times New Roman" w:hAnsi="Times New Roman" w:cs="Times New Roman"/>
        </w:rPr>
        <w:t xml:space="preserve">não só </w:t>
      </w:r>
      <w:r w:rsidR="00941B75">
        <w:rPr>
          <w:rFonts w:ascii="Times New Roman" w:hAnsi="Times New Roman" w:cs="Times New Roman"/>
        </w:rPr>
        <w:t>n</w:t>
      </w:r>
      <w:r w:rsidR="00391213">
        <w:rPr>
          <w:rFonts w:ascii="Times New Roman" w:hAnsi="Times New Roman" w:cs="Times New Roman"/>
        </w:rPr>
        <w:t>as 20 companhias do</w:t>
      </w:r>
      <w:r w:rsidR="0013745E" w:rsidRPr="005057A6">
        <w:rPr>
          <w:rFonts w:ascii="Times New Roman" w:hAnsi="Times New Roman" w:cs="Times New Roman"/>
        </w:rPr>
        <w:t xml:space="preserve"> setor financeiro (</w:t>
      </w:r>
      <w:r w:rsidR="0013745E" w:rsidRPr="005057A6">
        <w:rPr>
          <w:rFonts w:ascii="Times New Roman" w:hAnsi="Times New Roman" w:cs="Times New Roman"/>
          <w:i/>
          <w:iCs/>
        </w:rPr>
        <w:t>p-</w:t>
      </w:r>
      <w:proofErr w:type="spellStart"/>
      <w:r w:rsidR="0013745E" w:rsidRPr="005057A6">
        <w:rPr>
          <w:rFonts w:ascii="Times New Roman" w:hAnsi="Times New Roman" w:cs="Times New Roman"/>
          <w:i/>
          <w:iCs/>
        </w:rPr>
        <w:t>value</w:t>
      </w:r>
      <w:proofErr w:type="spellEnd"/>
      <w:r w:rsidR="0013745E" w:rsidRPr="005057A6">
        <w:rPr>
          <w:rFonts w:ascii="Times New Roman" w:hAnsi="Times New Roman" w:cs="Times New Roman"/>
        </w:rPr>
        <w:t xml:space="preserve"> = 0,021)</w:t>
      </w:r>
      <w:r w:rsidR="00F60C65">
        <w:rPr>
          <w:rFonts w:ascii="Times New Roman" w:hAnsi="Times New Roman" w:cs="Times New Roman"/>
        </w:rPr>
        <w:t>,</w:t>
      </w:r>
      <w:r w:rsidR="0013745E" w:rsidRPr="005057A6">
        <w:rPr>
          <w:rFonts w:ascii="Times New Roman" w:hAnsi="Times New Roman" w:cs="Times New Roman"/>
        </w:rPr>
        <w:t xml:space="preserve"> mas também </w:t>
      </w:r>
      <w:r w:rsidR="00941B75">
        <w:rPr>
          <w:rFonts w:ascii="Times New Roman" w:hAnsi="Times New Roman" w:cs="Times New Roman"/>
        </w:rPr>
        <w:t>na</w:t>
      </w:r>
      <w:r w:rsidR="00391213">
        <w:rPr>
          <w:rFonts w:ascii="Times New Roman" w:hAnsi="Times New Roman" w:cs="Times New Roman"/>
        </w:rPr>
        <w:t>s 187</w:t>
      </w:r>
      <w:r w:rsidRPr="005057A6">
        <w:rPr>
          <w:rFonts w:ascii="Times New Roman" w:hAnsi="Times New Roman" w:cs="Times New Roman"/>
        </w:rPr>
        <w:t xml:space="preserve"> das companhias </w:t>
      </w:r>
      <w:r w:rsidR="00391213">
        <w:rPr>
          <w:rFonts w:ascii="Times New Roman" w:hAnsi="Times New Roman" w:cs="Times New Roman"/>
        </w:rPr>
        <w:t xml:space="preserve">classificadas </w:t>
      </w:r>
      <w:r w:rsidR="00FF0234">
        <w:rPr>
          <w:rFonts w:ascii="Times New Roman" w:hAnsi="Times New Roman" w:cs="Times New Roman"/>
        </w:rPr>
        <w:t>no</w:t>
      </w:r>
      <w:r w:rsidRPr="005057A6">
        <w:rPr>
          <w:rFonts w:ascii="Times New Roman" w:hAnsi="Times New Roman" w:cs="Times New Roman"/>
        </w:rPr>
        <w:t xml:space="preserve"> setor não financeiro</w:t>
      </w:r>
      <w:r w:rsidR="0013745E" w:rsidRPr="005057A6">
        <w:rPr>
          <w:rFonts w:ascii="Times New Roman" w:hAnsi="Times New Roman" w:cs="Times New Roman"/>
        </w:rPr>
        <w:t xml:space="preserve"> (</w:t>
      </w:r>
      <w:r w:rsidR="0013745E" w:rsidRPr="005057A6">
        <w:rPr>
          <w:rFonts w:ascii="Times New Roman" w:hAnsi="Times New Roman" w:cs="Times New Roman"/>
          <w:i/>
          <w:iCs/>
        </w:rPr>
        <w:t>p-</w:t>
      </w:r>
      <w:proofErr w:type="spellStart"/>
      <w:r w:rsidR="0013745E" w:rsidRPr="005057A6">
        <w:rPr>
          <w:rFonts w:ascii="Times New Roman" w:hAnsi="Times New Roman" w:cs="Times New Roman"/>
          <w:i/>
          <w:iCs/>
        </w:rPr>
        <w:t>value</w:t>
      </w:r>
      <w:proofErr w:type="spellEnd"/>
      <w:r w:rsidR="0013745E" w:rsidRPr="005057A6">
        <w:rPr>
          <w:rFonts w:ascii="Times New Roman" w:hAnsi="Times New Roman" w:cs="Times New Roman"/>
        </w:rPr>
        <w:t xml:space="preserve"> = 0,096)</w:t>
      </w:r>
      <w:r w:rsidRPr="005057A6">
        <w:rPr>
          <w:rFonts w:ascii="Times New Roman" w:hAnsi="Times New Roman" w:cs="Times New Roman"/>
        </w:rPr>
        <w:t xml:space="preserve">. </w:t>
      </w:r>
    </w:p>
    <w:p w14:paraId="43BACA85" w14:textId="317CC6EB" w:rsidR="00E31DCE" w:rsidRDefault="00E31DCE"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 xml:space="preserve">No setor financeiro </w:t>
      </w:r>
      <w:r w:rsidR="00FA3426">
        <w:rPr>
          <w:rFonts w:ascii="Times New Roman" w:hAnsi="Times New Roman" w:cs="Times New Roman"/>
        </w:rPr>
        <w:t xml:space="preserve">foi </w:t>
      </w:r>
      <w:r w:rsidR="001846DB">
        <w:rPr>
          <w:rFonts w:ascii="Times New Roman" w:hAnsi="Times New Roman" w:cs="Times New Roman"/>
        </w:rPr>
        <w:t>constatada</w:t>
      </w:r>
      <w:r w:rsidR="00A6687A">
        <w:rPr>
          <w:rFonts w:ascii="Times New Roman" w:hAnsi="Times New Roman" w:cs="Times New Roman"/>
        </w:rPr>
        <w:t xml:space="preserve"> </w:t>
      </w:r>
      <w:r w:rsidR="001846DB">
        <w:rPr>
          <w:rFonts w:ascii="Times New Roman" w:hAnsi="Times New Roman" w:cs="Times New Roman"/>
        </w:rPr>
        <w:t>uma</w:t>
      </w:r>
      <w:r w:rsidR="00A6687A">
        <w:rPr>
          <w:rFonts w:ascii="Times New Roman" w:hAnsi="Times New Roman" w:cs="Times New Roman"/>
        </w:rPr>
        <w:t xml:space="preserve"> redução </w:t>
      </w:r>
      <w:r w:rsidR="001846DB">
        <w:rPr>
          <w:rFonts w:ascii="Times New Roman" w:hAnsi="Times New Roman" w:cs="Times New Roman"/>
        </w:rPr>
        <w:t xml:space="preserve">estatisticamente significativa </w:t>
      </w:r>
      <w:r w:rsidR="00A6687A">
        <w:rPr>
          <w:rFonts w:ascii="Times New Roman" w:hAnsi="Times New Roman" w:cs="Times New Roman"/>
        </w:rPr>
        <w:t>das cargas tributária</w:t>
      </w:r>
      <w:r w:rsidR="00465857">
        <w:rPr>
          <w:rFonts w:ascii="Times New Roman" w:hAnsi="Times New Roman" w:cs="Times New Roman"/>
        </w:rPr>
        <w:t>s</w:t>
      </w:r>
      <w:r w:rsidR="00A6687A">
        <w:rPr>
          <w:rFonts w:ascii="Times New Roman" w:hAnsi="Times New Roman" w:cs="Times New Roman"/>
        </w:rPr>
        <w:t xml:space="preserve"> total</w:t>
      </w:r>
      <w:r w:rsidR="00F60C65">
        <w:rPr>
          <w:rFonts w:ascii="Times New Roman" w:hAnsi="Times New Roman" w:cs="Times New Roman"/>
        </w:rPr>
        <w:t xml:space="preserve"> e corrente</w:t>
      </w:r>
      <w:r w:rsidR="00A6687A">
        <w:rPr>
          <w:rFonts w:ascii="Times New Roman" w:hAnsi="Times New Roman" w:cs="Times New Roman"/>
        </w:rPr>
        <w:t xml:space="preserve"> no período de 2015 a 2019, comparativamente </w:t>
      </w:r>
      <w:r w:rsidR="00FF0234">
        <w:rPr>
          <w:rFonts w:ascii="Times New Roman" w:hAnsi="Times New Roman" w:cs="Times New Roman"/>
        </w:rPr>
        <w:t>com o</w:t>
      </w:r>
      <w:r w:rsidR="00A6687A">
        <w:rPr>
          <w:rFonts w:ascii="Times New Roman" w:hAnsi="Times New Roman" w:cs="Times New Roman"/>
        </w:rPr>
        <w:t xml:space="preserve"> quinquênio anterior, em que pese tenha havido a majoração das alíquotas</w:t>
      </w:r>
      <w:r w:rsidR="0088701D">
        <w:rPr>
          <w:rFonts w:ascii="Times New Roman" w:hAnsi="Times New Roman" w:cs="Times New Roman"/>
        </w:rPr>
        <w:t xml:space="preserve"> nominais</w:t>
      </w:r>
      <w:r w:rsidR="00A6687A">
        <w:rPr>
          <w:rFonts w:ascii="Times New Roman" w:hAnsi="Times New Roman" w:cs="Times New Roman"/>
        </w:rPr>
        <w:t xml:space="preserve"> da CSLL</w:t>
      </w:r>
      <w:r w:rsidR="001846DB">
        <w:rPr>
          <w:rFonts w:ascii="Times New Roman" w:hAnsi="Times New Roman" w:cs="Times New Roman"/>
        </w:rPr>
        <w:t xml:space="preserve"> de 15% </w:t>
      </w:r>
      <w:r w:rsidR="0088701D">
        <w:rPr>
          <w:rFonts w:ascii="Times New Roman" w:hAnsi="Times New Roman" w:cs="Times New Roman"/>
        </w:rPr>
        <w:t xml:space="preserve">para 20%, </w:t>
      </w:r>
      <w:r w:rsidR="005E1876">
        <w:rPr>
          <w:rFonts w:ascii="Times New Roman" w:hAnsi="Times New Roman" w:cs="Times New Roman"/>
        </w:rPr>
        <w:t>no período de</w:t>
      </w:r>
      <w:r w:rsidR="0088701D">
        <w:rPr>
          <w:rFonts w:ascii="Times New Roman" w:hAnsi="Times New Roman" w:cs="Times New Roman"/>
        </w:rPr>
        <w:t xml:space="preserve"> setembro de 2015 a dezembro de 2018</w:t>
      </w:r>
      <w:r w:rsidR="001846DB">
        <w:rPr>
          <w:rFonts w:ascii="Times New Roman" w:hAnsi="Times New Roman" w:cs="Times New Roman"/>
        </w:rPr>
        <w:t xml:space="preserve">. </w:t>
      </w:r>
    </w:p>
    <w:p w14:paraId="4798FE25" w14:textId="77777777" w:rsidR="00410F1B" w:rsidRDefault="00410F1B"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O presente trabalho não identificou qualitativamente as causas das variações ocorridas na carga tributária incidente sobre o lucro das companhias, vinculadas a diferenças permanentes ou temporárias não instituídas pela Lei nº 12.973/2014, tais como as compensações de prejuízos fiscais ou bases negativas da CSLL, as isenções tributárias e as adições e exclusões já previstas da legislação anteriormente a 2015.</w:t>
      </w:r>
    </w:p>
    <w:p w14:paraId="6DACA5A9" w14:textId="37F831BD" w:rsidR="00A33ADD" w:rsidRDefault="0094763A"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lastRenderedPageBreak/>
        <w:t>Espera-se com este artigo</w:t>
      </w:r>
      <w:r w:rsidR="00A33ADD">
        <w:rPr>
          <w:rFonts w:ascii="Times New Roman" w:hAnsi="Times New Roman" w:cs="Times New Roman"/>
        </w:rPr>
        <w:t xml:space="preserve"> contribui</w:t>
      </w:r>
      <w:r>
        <w:rPr>
          <w:rFonts w:ascii="Times New Roman" w:hAnsi="Times New Roman" w:cs="Times New Roman"/>
        </w:rPr>
        <w:t>r</w:t>
      </w:r>
      <w:r w:rsidR="00A33ADD">
        <w:rPr>
          <w:rFonts w:ascii="Times New Roman" w:hAnsi="Times New Roman" w:cs="Times New Roman"/>
        </w:rPr>
        <w:t xml:space="preserve"> para o aprofundamento do estudo da legislação do IRPJ e da CSLL no regime do lucro real, compulsoriamente aplicado </w:t>
      </w:r>
      <w:r w:rsidR="00410F1B">
        <w:rPr>
          <w:rFonts w:ascii="Times New Roman" w:hAnsi="Times New Roman" w:cs="Times New Roman"/>
        </w:rPr>
        <w:t>à</w:t>
      </w:r>
      <w:r w:rsidR="00A33ADD">
        <w:rPr>
          <w:rFonts w:ascii="Times New Roman" w:hAnsi="Times New Roman" w:cs="Times New Roman"/>
        </w:rPr>
        <w:t xml:space="preserve">s pessoas jurídicas </w:t>
      </w:r>
      <w:r w:rsidR="00410F1B">
        <w:rPr>
          <w:rFonts w:ascii="Times New Roman" w:hAnsi="Times New Roman" w:cs="Times New Roman"/>
        </w:rPr>
        <w:t xml:space="preserve">com </w:t>
      </w:r>
      <w:r w:rsidR="00A33ADD">
        <w:rPr>
          <w:rFonts w:ascii="Times New Roman" w:hAnsi="Times New Roman" w:cs="Times New Roman"/>
        </w:rPr>
        <w:t xml:space="preserve">receita bruta superior a R$ 78 milhões por ano, </w:t>
      </w:r>
      <w:r w:rsidR="00410F1B">
        <w:rPr>
          <w:rFonts w:ascii="Times New Roman" w:hAnsi="Times New Roman" w:cs="Times New Roman"/>
        </w:rPr>
        <w:t xml:space="preserve">especialmente no que toca à </w:t>
      </w:r>
      <w:r w:rsidR="00A33ADD">
        <w:rPr>
          <w:rFonts w:ascii="Times New Roman" w:hAnsi="Times New Roman" w:cs="Times New Roman"/>
        </w:rPr>
        <w:t xml:space="preserve">efetiva neutralidade desse regime </w:t>
      </w:r>
      <w:r w:rsidR="00410F1B">
        <w:rPr>
          <w:rFonts w:ascii="Times New Roman" w:hAnsi="Times New Roman" w:cs="Times New Roman"/>
        </w:rPr>
        <w:t>diante</w:t>
      </w:r>
      <w:r w:rsidR="00A33ADD">
        <w:rPr>
          <w:rFonts w:ascii="Times New Roman" w:hAnsi="Times New Roman" w:cs="Times New Roman"/>
        </w:rPr>
        <w:t xml:space="preserve"> </w:t>
      </w:r>
      <w:r w:rsidR="00410F1B">
        <w:rPr>
          <w:rFonts w:ascii="Times New Roman" w:hAnsi="Times New Roman" w:cs="Times New Roman"/>
        </w:rPr>
        <w:t>d</w:t>
      </w:r>
      <w:r w:rsidR="00A33ADD">
        <w:rPr>
          <w:rFonts w:ascii="Times New Roman" w:hAnsi="Times New Roman" w:cs="Times New Roman"/>
        </w:rPr>
        <w:t>os novos métodos e critérios contábeis normatizados nos pronunciamentos técnicos</w:t>
      </w:r>
      <w:r>
        <w:rPr>
          <w:rFonts w:ascii="Times New Roman" w:hAnsi="Times New Roman" w:cs="Times New Roman"/>
        </w:rPr>
        <w:t>, interpretações e orientações</w:t>
      </w:r>
      <w:r w:rsidR="00A33ADD">
        <w:rPr>
          <w:rFonts w:ascii="Times New Roman" w:hAnsi="Times New Roman" w:cs="Times New Roman"/>
        </w:rPr>
        <w:t xml:space="preserve"> do CPC, convergentes com o padrão</w:t>
      </w:r>
      <w:r w:rsidR="0060284B">
        <w:rPr>
          <w:rFonts w:ascii="Times New Roman" w:hAnsi="Times New Roman" w:cs="Times New Roman"/>
        </w:rPr>
        <w:t xml:space="preserve"> dos</w:t>
      </w:r>
      <w:r w:rsidR="00A33ADD">
        <w:rPr>
          <w:rFonts w:ascii="Times New Roman" w:hAnsi="Times New Roman" w:cs="Times New Roman"/>
        </w:rPr>
        <w:t xml:space="preserve"> IFRS.</w:t>
      </w:r>
    </w:p>
    <w:p w14:paraId="1062C7C4" w14:textId="0B2DBCCD" w:rsidR="001846DB" w:rsidRDefault="001846DB" w:rsidP="00F83A22">
      <w:pPr>
        <w:pStyle w:val="Corpodetexto"/>
        <w:spacing w:after="120" w:line="240" w:lineRule="auto"/>
        <w:ind w:firstLine="709"/>
        <w:jc w:val="both"/>
        <w:rPr>
          <w:rFonts w:ascii="Times New Roman" w:hAnsi="Times New Roman" w:cs="Times New Roman"/>
        </w:rPr>
      </w:pPr>
      <w:r>
        <w:rPr>
          <w:rFonts w:ascii="Times New Roman" w:hAnsi="Times New Roman" w:cs="Times New Roman"/>
        </w:rPr>
        <w:t>Sugere-se a realização de pesquisas complementares</w:t>
      </w:r>
      <w:r w:rsidR="00C66456">
        <w:rPr>
          <w:rFonts w:ascii="Times New Roman" w:hAnsi="Times New Roman" w:cs="Times New Roman"/>
        </w:rPr>
        <w:t xml:space="preserve"> </w:t>
      </w:r>
      <w:r>
        <w:rPr>
          <w:rFonts w:ascii="Times New Roman" w:hAnsi="Times New Roman" w:cs="Times New Roman"/>
        </w:rPr>
        <w:t xml:space="preserve">com </w:t>
      </w:r>
      <w:r w:rsidR="00465857">
        <w:rPr>
          <w:rFonts w:ascii="Times New Roman" w:hAnsi="Times New Roman" w:cs="Times New Roman"/>
        </w:rPr>
        <w:t>o objetivo de</w:t>
      </w:r>
      <w:r>
        <w:rPr>
          <w:rFonts w:ascii="Times New Roman" w:hAnsi="Times New Roman" w:cs="Times New Roman"/>
        </w:rPr>
        <w:t xml:space="preserve"> </w:t>
      </w:r>
      <w:r w:rsidR="00465857">
        <w:rPr>
          <w:rFonts w:ascii="Times New Roman" w:hAnsi="Times New Roman" w:cs="Times New Roman"/>
        </w:rPr>
        <w:t>ratificar</w:t>
      </w:r>
      <w:r>
        <w:rPr>
          <w:rFonts w:ascii="Times New Roman" w:hAnsi="Times New Roman" w:cs="Times New Roman"/>
        </w:rPr>
        <w:t xml:space="preserve"> </w:t>
      </w:r>
      <w:r w:rsidR="00465857">
        <w:rPr>
          <w:rFonts w:ascii="Times New Roman" w:hAnsi="Times New Roman" w:cs="Times New Roman"/>
        </w:rPr>
        <w:t xml:space="preserve">o decréscimo no nível de tributação do lucro </w:t>
      </w:r>
      <w:r w:rsidR="00661461">
        <w:rPr>
          <w:rFonts w:ascii="Times New Roman" w:hAnsi="Times New Roman" w:cs="Times New Roman"/>
        </w:rPr>
        <w:t>verificado nas</w:t>
      </w:r>
      <w:r w:rsidR="00465857">
        <w:rPr>
          <w:rFonts w:ascii="Times New Roman" w:hAnsi="Times New Roman" w:cs="Times New Roman"/>
        </w:rPr>
        <w:t xml:space="preserve"> companhias do setor financeiro no período de 2015 a 2019, bem como</w:t>
      </w:r>
      <w:r w:rsidR="00C66456">
        <w:rPr>
          <w:rFonts w:ascii="Times New Roman" w:hAnsi="Times New Roman" w:cs="Times New Roman"/>
        </w:rPr>
        <w:t xml:space="preserve"> de</w:t>
      </w:r>
      <w:r w:rsidR="00465857">
        <w:rPr>
          <w:rFonts w:ascii="Times New Roman" w:hAnsi="Times New Roman" w:cs="Times New Roman"/>
        </w:rPr>
        <w:t xml:space="preserve"> </w:t>
      </w:r>
      <w:r w:rsidR="005E1876">
        <w:rPr>
          <w:rFonts w:ascii="Times New Roman" w:hAnsi="Times New Roman" w:cs="Times New Roman"/>
        </w:rPr>
        <w:t>identificar</w:t>
      </w:r>
      <w:r w:rsidR="00465857">
        <w:rPr>
          <w:rFonts w:ascii="Times New Roman" w:hAnsi="Times New Roman" w:cs="Times New Roman"/>
        </w:rPr>
        <w:t xml:space="preserve"> as causas dessa</w:t>
      </w:r>
      <w:r w:rsidR="00661461">
        <w:rPr>
          <w:rFonts w:ascii="Times New Roman" w:hAnsi="Times New Roman" w:cs="Times New Roman"/>
        </w:rPr>
        <w:t>s</w:t>
      </w:r>
      <w:r w:rsidR="00465857">
        <w:rPr>
          <w:rFonts w:ascii="Times New Roman" w:hAnsi="Times New Roman" w:cs="Times New Roman"/>
        </w:rPr>
        <w:t xml:space="preserve"> variaç</w:t>
      </w:r>
      <w:r w:rsidR="00661461">
        <w:rPr>
          <w:rFonts w:ascii="Times New Roman" w:hAnsi="Times New Roman" w:cs="Times New Roman"/>
        </w:rPr>
        <w:t>ões</w:t>
      </w:r>
      <w:r w:rsidR="00465857">
        <w:rPr>
          <w:rFonts w:ascii="Times New Roman" w:hAnsi="Times New Roman" w:cs="Times New Roman"/>
        </w:rPr>
        <w:t xml:space="preserve">, relacionando-as, ou não, com o regime fiscal </w:t>
      </w:r>
      <w:r w:rsidR="00F60C65">
        <w:rPr>
          <w:rFonts w:ascii="Times New Roman" w:hAnsi="Times New Roman" w:cs="Times New Roman"/>
        </w:rPr>
        <w:t>do IRPJ e da CSLL estabelecido</w:t>
      </w:r>
      <w:r w:rsidR="00465857">
        <w:rPr>
          <w:rFonts w:ascii="Times New Roman" w:hAnsi="Times New Roman" w:cs="Times New Roman"/>
        </w:rPr>
        <w:t xml:space="preserve"> pela Lei nº 12.973</w:t>
      </w:r>
      <w:r w:rsidR="009B6610">
        <w:rPr>
          <w:rFonts w:ascii="Times New Roman" w:hAnsi="Times New Roman" w:cs="Times New Roman"/>
        </w:rPr>
        <w:t>/</w:t>
      </w:r>
      <w:r w:rsidR="00465857">
        <w:rPr>
          <w:rFonts w:ascii="Times New Roman" w:hAnsi="Times New Roman" w:cs="Times New Roman"/>
        </w:rPr>
        <w:t>2014.</w:t>
      </w:r>
    </w:p>
    <w:p w14:paraId="337DFE07" w14:textId="0B59BF2B" w:rsidR="00073A36" w:rsidRDefault="00073A36" w:rsidP="0010625B">
      <w:pPr>
        <w:spacing w:after="120"/>
        <w:jc w:val="both"/>
        <w:rPr>
          <w:rFonts w:ascii="Times New Roman" w:hAnsi="Times New Roman" w:cs="Times New Roman"/>
        </w:rPr>
      </w:pPr>
    </w:p>
    <w:p w14:paraId="0D0793CA" w14:textId="77777777" w:rsidR="001D0599" w:rsidRDefault="001D0599" w:rsidP="0010625B">
      <w:pPr>
        <w:spacing w:after="120"/>
        <w:jc w:val="both"/>
        <w:rPr>
          <w:rFonts w:ascii="Times New Roman" w:hAnsi="Times New Roman" w:cs="Times New Roman"/>
        </w:rPr>
      </w:pPr>
    </w:p>
    <w:p w14:paraId="038724D1" w14:textId="77777777" w:rsidR="00073A36" w:rsidRPr="0041278D" w:rsidRDefault="00073A36" w:rsidP="0010625B">
      <w:pPr>
        <w:spacing w:after="120"/>
        <w:jc w:val="both"/>
        <w:rPr>
          <w:rFonts w:ascii="Times New Roman" w:hAnsi="Times New Roman" w:cs="Times New Roman"/>
          <w:b/>
          <w:bCs/>
        </w:rPr>
      </w:pPr>
      <w:r w:rsidRPr="0041278D">
        <w:rPr>
          <w:rFonts w:ascii="Times New Roman" w:hAnsi="Times New Roman" w:cs="Times New Roman"/>
          <w:b/>
          <w:bCs/>
        </w:rPr>
        <w:t>REFERÊNCIAS</w:t>
      </w:r>
    </w:p>
    <w:p w14:paraId="729C2A55" w14:textId="77777777" w:rsidR="00190E00" w:rsidRPr="0041278D" w:rsidRDefault="00190E00" w:rsidP="0010625B">
      <w:pPr>
        <w:spacing w:after="120"/>
        <w:jc w:val="both"/>
        <w:rPr>
          <w:rFonts w:ascii="Times New Roman" w:hAnsi="Times New Roman" w:cs="Times New Roman"/>
        </w:rPr>
      </w:pPr>
    </w:p>
    <w:p w14:paraId="2F68E6C9" w14:textId="28AF5A9A" w:rsidR="00501BAE" w:rsidRPr="0041278D" w:rsidRDefault="00501BAE" w:rsidP="0094763A">
      <w:pPr>
        <w:suppressAutoHyphens w:val="0"/>
        <w:autoSpaceDE w:val="0"/>
        <w:autoSpaceDN w:val="0"/>
        <w:adjustRightInd w:val="0"/>
        <w:spacing w:after="120"/>
        <w:jc w:val="both"/>
        <w:rPr>
          <w:rFonts w:ascii="Times New Roman" w:hAnsi="Times New Roman" w:cs="Times New Roman"/>
        </w:rPr>
      </w:pPr>
      <w:r w:rsidRPr="0041278D">
        <w:rPr>
          <w:rFonts w:ascii="Times New Roman" w:hAnsi="Times New Roman" w:cs="Times New Roman"/>
          <w:kern w:val="0"/>
          <w:lang w:eastAsia="pt-BR" w:bidi="ar-SA"/>
        </w:rPr>
        <w:t xml:space="preserve">BASTOS, D. D.; NAKAMURA, W. T. </w:t>
      </w:r>
      <w:r w:rsidRPr="0041278D">
        <w:rPr>
          <w:rFonts w:ascii="Times New Roman" w:hAnsi="Times New Roman" w:cs="Times New Roman"/>
          <w:b/>
          <w:bCs/>
          <w:kern w:val="0"/>
          <w:lang w:eastAsia="pt-BR" w:bidi="ar-SA"/>
        </w:rPr>
        <w:t>Determinantes da estrutura de capital das companhias</w:t>
      </w:r>
      <w:r w:rsidR="007A6352" w:rsidRPr="0041278D">
        <w:rPr>
          <w:rFonts w:ascii="Times New Roman" w:hAnsi="Times New Roman" w:cs="Times New Roman"/>
          <w:b/>
          <w:bCs/>
          <w:kern w:val="0"/>
          <w:lang w:eastAsia="pt-BR" w:bidi="ar-SA"/>
        </w:rPr>
        <w:t xml:space="preserve"> </w:t>
      </w:r>
      <w:r w:rsidRPr="0041278D">
        <w:rPr>
          <w:rFonts w:ascii="Times New Roman" w:hAnsi="Times New Roman" w:cs="Times New Roman"/>
          <w:b/>
          <w:bCs/>
          <w:kern w:val="0"/>
          <w:lang w:eastAsia="pt-BR" w:bidi="ar-SA"/>
        </w:rPr>
        <w:t>abertas no Brasil, México e Chile no período 2001-2006</w:t>
      </w:r>
      <w:r w:rsidRPr="0041278D">
        <w:rPr>
          <w:rFonts w:ascii="Times New Roman" w:hAnsi="Times New Roman" w:cs="Times New Roman"/>
          <w:kern w:val="0"/>
          <w:lang w:eastAsia="pt-BR" w:bidi="ar-SA"/>
        </w:rPr>
        <w:t xml:space="preserve">. </w:t>
      </w:r>
      <w:r w:rsidRPr="0041278D">
        <w:rPr>
          <w:rFonts w:ascii="Times New Roman" w:hAnsi="Times New Roman" w:cs="Times New Roman"/>
          <w:i/>
          <w:iCs/>
          <w:kern w:val="0"/>
          <w:lang w:eastAsia="pt-BR" w:bidi="ar-SA"/>
        </w:rPr>
        <w:t xml:space="preserve">Revista </w:t>
      </w:r>
      <w:r w:rsidR="007A6352" w:rsidRPr="0041278D">
        <w:rPr>
          <w:rFonts w:ascii="Times New Roman" w:hAnsi="Times New Roman" w:cs="Times New Roman"/>
          <w:i/>
          <w:iCs/>
          <w:kern w:val="0"/>
          <w:lang w:eastAsia="pt-BR" w:bidi="ar-SA"/>
        </w:rPr>
        <w:t>de C</w:t>
      </w:r>
      <w:r w:rsidRPr="0041278D">
        <w:rPr>
          <w:rFonts w:ascii="Times New Roman" w:hAnsi="Times New Roman" w:cs="Times New Roman"/>
          <w:i/>
          <w:iCs/>
          <w:kern w:val="0"/>
          <w:lang w:eastAsia="pt-BR" w:bidi="ar-SA"/>
        </w:rPr>
        <w:t>ontabilidade &amp; Finanças -</w:t>
      </w:r>
      <w:r w:rsidR="007A6352" w:rsidRPr="0041278D">
        <w:rPr>
          <w:rFonts w:ascii="Times New Roman" w:hAnsi="Times New Roman" w:cs="Times New Roman"/>
          <w:i/>
          <w:iCs/>
          <w:kern w:val="0"/>
          <w:lang w:eastAsia="pt-BR" w:bidi="ar-SA"/>
        </w:rPr>
        <w:t xml:space="preserve"> </w:t>
      </w:r>
      <w:r w:rsidRPr="0041278D">
        <w:rPr>
          <w:rFonts w:ascii="Times New Roman" w:hAnsi="Times New Roman" w:cs="Times New Roman"/>
          <w:i/>
          <w:iCs/>
          <w:kern w:val="0"/>
          <w:lang w:eastAsia="pt-BR" w:bidi="ar-SA"/>
        </w:rPr>
        <w:t>USP</w:t>
      </w:r>
      <w:r w:rsidRPr="0041278D">
        <w:rPr>
          <w:rFonts w:ascii="Times New Roman" w:hAnsi="Times New Roman" w:cs="Times New Roman"/>
          <w:kern w:val="0"/>
          <w:lang w:eastAsia="pt-BR" w:bidi="ar-SA"/>
        </w:rPr>
        <w:t>, São Paulo, v. 20, n. 50, p. 75-94, maio/ago. 2009.</w:t>
      </w:r>
    </w:p>
    <w:p w14:paraId="5DAF5219" w14:textId="6A338A47" w:rsidR="00EC2B00" w:rsidRPr="0041278D" w:rsidRDefault="00EC2B00" w:rsidP="0094763A">
      <w:pPr>
        <w:spacing w:after="120"/>
        <w:jc w:val="both"/>
        <w:rPr>
          <w:rFonts w:ascii="Times New Roman" w:hAnsi="Times New Roman" w:cs="Times New Roman"/>
        </w:rPr>
      </w:pPr>
      <w:r w:rsidRPr="0041278D">
        <w:rPr>
          <w:rFonts w:ascii="Times New Roman" w:hAnsi="Times New Roman" w:cs="Times New Roman"/>
        </w:rPr>
        <w:t xml:space="preserve">BRASIL. </w:t>
      </w:r>
      <w:r w:rsidRPr="0041278D">
        <w:rPr>
          <w:rFonts w:ascii="Times New Roman" w:hAnsi="Times New Roman" w:cs="Times New Roman"/>
          <w:b/>
          <w:bCs/>
        </w:rPr>
        <w:t>Decreto-Lei nº 1.598, de 26 de dezembro de 1977</w:t>
      </w:r>
      <w:r w:rsidRPr="0041278D">
        <w:rPr>
          <w:rFonts w:ascii="Times New Roman" w:hAnsi="Times New Roman" w:cs="Times New Roman"/>
        </w:rPr>
        <w:t>. Disponível em: &lt;</w:t>
      </w:r>
      <w:hyperlink r:id="rId8" w:history="1">
        <w:r w:rsidRPr="0041278D">
          <w:rPr>
            <w:rStyle w:val="Hyperlink"/>
            <w:rFonts w:ascii="Times New Roman" w:hAnsi="Times New Roman" w:cs="Times New Roman"/>
          </w:rPr>
          <w:t>DEL1598 (planalto.gov.br)</w:t>
        </w:r>
      </w:hyperlink>
      <w:r w:rsidRPr="0041278D">
        <w:rPr>
          <w:rFonts w:ascii="Times New Roman" w:hAnsi="Times New Roman" w:cs="Times New Roman"/>
        </w:rPr>
        <w:t>&gt;</w:t>
      </w:r>
      <w:r w:rsidRPr="0041278D">
        <w:rPr>
          <w:rFonts w:ascii="Times New Roman" w:hAnsi="Times New Roman" w:cs="Times New Roman"/>
          <w:color w:val="000000"/>
        </w:rPr>
        <w:t>. Acesso em: 07 dez. 2020.</w:t>
      </w:r>
    </w:p>
    <w:p w14:paraId="71F7F743" w14:textId="564CB8CF" w:rsidR="00EC2B00" w:rsidRPr="0041278D" w:rsidRDefault="00EC2B00" w:rsidP="0094763A">
      <w:pPr>
        <w:spacing w:after="120"/>
        <w:jc w:val="both"/>
        <w:rPr>
          <w:rFonts w:ascii="Times New Roman" w:hAnsi="Times New Roman" w:cs="Times New Roman"/>
        </w:rPr>
      </w:pPr>
      <w:r w:rsidRPr="0041278D">
        <w:rPr>
          <w:rFonts w:ascii="Times New Roman" w:hAnsi="Times New Roman" w:cs="Times New Roman"/>
        </w:rPr>
        <w:t xml:space="preserve">_______. </w:t>
      </w:r>
      <w:r w:rsidRPr="0041278D">
        <w:rPr>
          <w:rFonts w:ascii="Times New Roman" w:hAnsi="Times New Roman" w:cs="Times New Roman"/>
          <w:b/>
          <w:bCs/>
        </w:rPr>
        <w:t>Decreto nº 3.000, de 26 de março de 1999</w:t>
      </w:r>
      <w:r w:rsidRPr="0041278D">
        <w:rPr>
          <w:rFonts w:ascii="Times New Roman" w:hAnsi="Times New Roman" w:cs="Times New Roman"/>
        </w:rPr>
        <w:t>. Disponível em: &lt;</w:t>
      </w:r>
      <w:hyperlink r:id="rId9" w:history="1">
        <w:r w:rsidRPr="0041278D">
          <w:rPr>
            <w:rStyle w:val="Hyperlink"/>
            <w:rFonts w:ascii="Times New Roman" w:hAnsi="Times New Roman" w:cs="Times New Roman"/>
          </w:rPr>
          <w:t>D3000 (planalto.gov.br)</w:t>
        </w:r>
      </w:hyperlink>
      <w:r w:rsidRPr="0041278D">
        <w:rPr>
          <w:rFonts w:ascii="Times New Roman" w:hAnsi="Times New Roman" w:cs="Times New Roman"/>
          <w:color w:val="000000"/>
        </w:rPr>
        <w:t>&gt;. Acesso em: 07 dez. 2020.</w:t>
      </w:r>
    </w:p>
    <w:p w14:paraId="328B9EAD" w14:textId="585AB012" w:rsidR="00EC2B00" w:rsidRPr="0041278D" w:rsidRDefault="00EC2B00" w:rsidP="0094763A">
      <w:pPr>
        <w:spacing w:after="120"/>
        <w:jc w:val="both"/>
        <w:rPr>
          <w:rFonts w:ascii="Times New Roman" w:hAnsi="Times New Roman" w:cs="Times New Roman"/>
          <w:color w:val="000000"/>
        </w:rPr>
      </w:pPr>
      <w:r w:rsidRPr="0041278D">
        <w:rPr>
          <w:rFonts w:ascii="Times New Roman" w:hAnsi="Times New Roman" w:cs="Times New Roman"/>
        </w:rPr>
        <w:t xml:space="preserve">_______. </w:t>
      </w:r>
      <w:r w:rsidRPr="0041278D">
        <w:rPr>
          <w:rFonts w:ascii="Times New Roman" w:hAnsi="Times New Roman" w:cs="Times New Roman"/>
          <w:b/>
          <w:bCs/>
        </w:rPr>
        <w:t>Decreto nº 9.580, de 22 de novembro de 2018</w:t>
      </w:r>
      <w:r w:rsidRPr="0041278D">
        <w:rPr>
          <w:rFonts w:ascii="Times New Roman" w:hAnsi="Times New Roman" w:cs="Times New Roman"/>
        </w:rPr>
        <w:t>. Disponível em: &lt;</w:t>
      </w:r>
      <w:hyperlink r:id="rId10" w:anchor="art4" w:history="1">
        <w:r w:rsidRPr="0041278D">
          <w:rPr>
            <w:rStyle w:val="Hyperlink"/>
            <w:rFonts w:ascii="Times New Roman" w:hAnsi="Times New Roman" w:cs="Times New Roman"/>
          </w:rPr>
          <w:t>D9580 (planalto.gov.br)</w:t>
        </w:r>
      </w:hyperlink>
      <w:r w:rsidRPr="0041278D">
        <w:rPr>
          <w:rFonts w:ascii="Times New Roman" w:hAnsi="Times New Roman" w:cs="Times New Roman"/>
          <w:color w:val="000000"/>
        </w:rPr>
        <w:t>&gt;. Acesso em: 07 dez. 2020.</w:t>
      </w:r>
    </w:p>
    <w:p w14:paraId="625E7E0D" w14:textId="2A217855" w:rsidR="00E576B4" w:rsidRPr="0041278D" w:rsidRDefault="00EC2B00" w:rsidP="0094763A">
      <w:pPr>
        <w:spacing w:after="120"/>
        <w:jc w:val="both"/>
        <w:rPr>
          <w:rFonts w:ascii="Times New Roman" w:hAnsi="Times New Roman" w:cs="Times New Roman"/>
        </w:rPr>
      </w:pPr>
      <w:r w:rsidRPr="0041278D">
        <w:rPr>
          <w:rFonts w:ascii="Times New Roman" w:hAnsi="Times New Roman" w:cs="Times New Roman"/>
        </w:rPr>
        <w:t>_______</w:t>
      </w:r>
      <w:r w:rsidR="00E576B4" w:rsidRPr="0041278D">
        <w:rPr>
          <w:rFonts w:ascii="Times New Roman" w:hAnsi="Times New Roman" w:cs="Times New Roman"/>
        </w:rPr>
        <w:t xml:space="preserve">. </w:t>
      </w:r>
      <w:r w:rsidR="00E576B4" w:rsidRPr="0041278D">
        <w:rPr>
          <w:rFonts w:ascii="Times New Roman" w:hAnsi="Times New Roman" w:cs="Times New Roman"/>
          <w:b/>
          <w:bCs/>
        </w:rPr>
        <w:t>Lei nº 6.404, de 15 de dezembro de 1976</w:t>
      </w:r>
      <w:r w:rsidR="00E576B4" w:rsidRPr="0041278D">
        <w:rPr>
          <w:rFonts w:ascii="Times New Roman" w:hAnsi="Times New Roman" w:cs="Times New Roman"/>
        </w:rPr>
        <w:t>. Disponível em: &lt;</w:t>
      </w:r>
      <w:hyperlink r:id="rId11" w:history="1">
        <w:r w:rsidR="00CE4B61" w:rsidRPr="0041278D">
          <w:rPr>
            <w:rStyle w:val="Hyperlink"/>
            <w:rFonts w:ascii="Times New Roman" w:hAnsi="Times New Roman" w:cs="Times New Roman"/>
          </w:rPr>
          <w:t>L6404consol (planalto.gov.br)</w:t>
        </w:r>
      </w:hyperlink>
      <w:r w:rsidR="00E576B4" w:rsidRPr="0041278D">
        <w:rPr>
          <w:rFonts w:ascii="Times New Roman" w:hAnsi="Times New Roman" w:cs="Times New Roman"/>
        </w:rPr>
        <w:t>&gt;</w:t>
      </w:r>
      <w:r w:rsidR="00E576B4" w:rsidRPr="0041278D">
        <w:rPr>
          <w:rFonts w:ascii="Times New Roman" w:hAnsi="Times New Roman" w:cs="Times New Roman"/>
          <w:color w:val="000000"/>
        </w:rPr>
        <w:t>. Acesso em:</w:t>
      </w:r>
      <w:r w:rsidR="004C0177" w:rsidRPr="0041278D">
        <w:rPr>
          <w:rFonts w:ascii="Times New Roman" w:hAnsi="Times New Roman" w:cs="Times New Roman"/>
          <w:color w:val="000000"/>
        </w:rPr>
        <w:t xml:space="preserve"> </w:t>
      </w:r>
      <w:r w:rsidR="00CE4B61" w:rsidRPr="0041278D">
        <w:rPr>
          <w:rFonts w:ascii="Times New Roman" w:hAnsi="Times New Roman" w:cs="Times New Roman"/>
          <w:color w:val="000000"/>
        </w:rPr>
        <w:t>07 dez.</w:t>
      </w:r>
      <w:r w:rsidR="004C0177" w:rsidRPr="0041278D">
        <w:rPr>
          <w:rFonts w:ascii="Times New Roman" w:hAnsi="Times New Roman" w:cs="Times New Roman"/>
          <w:color w:val="000000"/>
        </w:rPr>
        <w:t xml:space="preserve"> 2020</w:t>
      </w:r>
      <w:r w:rsidR="00E576B4" w:rsidRPr="0041278D">
        <w:rPr>
          <w:rFonts w:ascii="Times New Roman" w:hAnsi="Times New Roman" w:cs="Times New Roman"/>
          <w:color w:val="000000"/>
        </w:rPr>
        <w:t>.</w:t>
      </w:r>
    </w:p>
    <w:p w14:paraId="4FDDC76B" w14:textId="61122DE4" w:rsidR="00AD5F7C" w:rsidRPr="0041278D" w:rsidRDefault="00E51959" w:rsidP="0094763A">
      <w:pPr>
        <w:spacing w:after="120"/>
        <w:jc w:val="both"/>
        <w:rPr>
          <w:rFonts w:ascii="Times New Roman" w:hAnsi="Times New Roman" w:cs="Times New Roman"/>
          <w:color w:val="000000"/>
        </w:rPr>
      </w:pPr>
      <w:r w:rsidRPr="0041278D">
        <w:rPr>
          <w:rFonts w:ascii="Times New Roman" w:hAnsi="Times New Roman" w:cs="Times New Roman"/>
        </w:rPr>
        <w:t xml:space="preserve">_______. </w:t>
      </w:r>
      <w:r w:rsidR="00AD5F7C" w:rsidRPr="0041278D">
        <w:rPr>
          <w:rFonts w:ascii="Times New Roman" w:hAnsi="Times New Roman" w:cs="Times New Roman"/>
          <w:b/>
          <w:bCs/>
        </w:rPr>
        <w:t>Lei nº 11.638, de 28 de dezembro de 2007</w:t>
      </w:r>
      <w:r w:rsidR="00AD5F7C" w:rsidRPr="0041278D">
        <w:rPr>
          <w:rFonts w:ascii="Times New Roman" w:hAnsi="Times New Roman" w:cs="Times New Roman"/>
        </w:rPr>
        <w:t>. Disponível em: &lt;</w:t>
      </w:r>
      <w:hyperlink r:id="rId12" w:history="1">
        <w:r w:rsidR="00CE4B61" w:rsidRPr="0041278D">
          <w:rPr>
            <w:rStyle w:val="Hyperlink"/>
            <w:rFonts w:ascii="Times New Roman" w:hAnsi="Times New Roman" w:cs="Times New Roman"/>
          </w:rPr>
          <w:t>Lei nº 11.638 (planalto.gov.br)</w:t>
        </w:r>
      </w:hyperlink>
      <w:r w:rsidR="00AD5F7C" w:rsidRPr="0041278D">
        <w:rPr>
          <w:rFonts w:ascii="Times New Roman" w:hAnsi="Times New Roman" w:cs="Times New Roman"/>
          <w:color w:val="000000"/>
        </w:rPr>
        <w:t xml:space="preserve">&gt;. Acesso em: </w:t>
      </w:r>
      <w:r w:rsidR="00CE4B61" w:rsidRPr="0041278D">
        <w:rPr>
          <w:rFonts w:ascii="Times New Roman" w:hAnsi="Times New Roman" w:cs="Times New Roman"/>
          <w:color w:val="000000"/>
        </w:rPr>
        <w:t>07 dez</w:t>
      </w:r>
      <w:r w:rsidR="00AD5F7C" w:rsidRPr="0041278D">
        <w:rPr>
          <w:rFonts w:ascii="Times New Roman" w:hAnsi="Times New Roman" w:cs="Times New Roman"/>
          <w:color w:val="000000"/>
        </w:rPr>
        <w:t>. 2020.</w:t>
      </w:r>
    </w:p>
    <w:p w14:paraId="2752BB65" w14:textId="11777BF1" w:rsidR="00AD5F7C" w:rsidRPr="0041278D" w:rsidRDefault="00E51959" w:rsidP="0094763A">
      <w:pPr>
        <w:spacing w:after="120"/>
        <w:jc w:val="both"/>
        <w:rPr>
          <w:rFonts w:ascii="Times New Roman" w:hAnsi="Times New Roman" w:cs="Times New Roman"/>
        </w:rPr>
      </w:pPr>
      <w:r w:rsidRPr="0041278D">
        <w:rPr>
          <w:rFonts w:ascii="Times New Roman" w:hAnsi="Times New Roman" w:cs="Times New Roman"/>
        </w:rPr>
        <w:t>_______.</w:t>
      </w:r>
      <w:r w:rsidR="00AD5F7C" w:rsidRPr="0041278D">
        <w:rPr>
          <w:rFonts w:ascii="Times New Roman" w:hAnsi="Times New Roman" w:cs="Times New Roman"/>
        </w:rPr>
        <w:t xml:space="preserve"> </w:t>
      </w:r>
      <w:r w:rsidR="00AD5F7C" w:rsidRPr="0041278D">
        <w:rPr>
          <w:rFonts w:ascii="Times New Roman" w:hAnsi="Times New Roman" w:cs="Times New Roman"/>
          <w:b/>
          <w:bCs/>
        </w:rPr>
        <w:t>Lei nº 11.941, de 27 de maio de 2009</w:t>
      </w:r>
      <w:r w:rsidR="00AD5F7C" w:rsidRPr="0041278D">
        <w:rPr>
          <w:rFonts w:ascii="Times New Roman" w:hAnsi="Times New Roman" w:cs="Times New Roman"/>
        </w:rPr>
        <w:t>. Disponível em: &lt;</w:t>
      </w:r>
      <w:hyperlink r:id="rId13" w:history="1">
        <w:r w:rsidR="00CE4B61" w:rsidRPr="0041278D">
          <w:rPr>
            <w:rStyle w:val="Hyperlink"/>
            <w:rFonts w:ascii="Times New Roman" w:hAnsi="Times New Roman" w:cs="Times New Roman"/>
          </w:rPr>
          <w:t>L11941 (planalto.gov.br)</w:t>
        </w:r>
      </w:hyperlink>
      <w:r w:rsidR="00AD5F7C" w:rsidRPr="0041278D">
        <w:rPr>
          <w:rFonts w:ascii="Times New Roman" w:hAnsi="Times New Roman" w:cs="Times New Roman"/>
          <w:color w:val="000000"/>
        </w:rPr>
        <w:t xml:space="preserve">&gt;. Acesso em: </w:t>
      </w:r>
      <w:r w:rsidR="00CE4B61" w:rsidRPr="0041278D">
        <w:rPr>
          <w:rFonts w:ascii="Times New Roman" w:hAnsi="Times New Roman" w:cs="Times New Roman"/>
          <w:color w:val="000000"/>
        </w:rPr>
        <w:t>07 dez</w:t>
      </w:r>
      <w:r w:rsidR="00AD5F7C" w:rsidRPr="0041278D">
        <w:rPr>
          <w:rFonts w:ascii="Times New Roman" w:hAnsi="Times New Roman" w:cs="Times New Roman"/>
          <w:color w:val="000000"/>
        </w:rPr>
        <w:t>. 2020.</w:t>
      </w:r>
    </w:p>
    <w:p w14:paraId="138C9F88" w14:textId="2FDA868C" w:rsidR="00B26941" w:rsidRPr="0041278D" w:rsidRDefault="00E51959" w:rsidP="0094763A">
      <w:pPr>
        <w:spacing w:after="120"/>
        <w:jc w:val="both"/>
        <w:rPr>
          <w:rFonts w:ascii="Times New Roman" w:hAnsi="Times New Roman" w:cs="Times New Roman"/>
          <w:caps/>
          <w:color w:val="000000"/>
          <w:kern w:val="24"/>
        </w:rPr>
      </w:pPr>
      <w:r w:rsidRPr="0041278D">
        <w:rPr>
          <w:rFonts w:ascii="Times New Roman" w:hAnsi="Times New Roman" w:cs="Times New Roman"/>
        </w:rPr>
        <w:t>_______.</w:t>
      </w:r>
      <w:r w:rsidR="00B00B5F" w:rsidRPr="0041278D">
        <w:rPr>
          <w:rFonts w:ascii="Times New Roman" w:hAnsi="Times New Roman" w:cs="Times New Roman"/>
        </w:rPr>
        <w:t xml:space="preserve"> </w:t>
      </w:r>
      <w:r w:rsidR="00B00B5F" w:rsidRPr="0041278D">
        <w:rPr>
          <w:rFonts w:ascii="Times New Roman" w:hAnsi="Times New Roman" w:cs="Times New Roman"/>
          <w:b/>
          <w:bCs/>
        </w:rPr>
        <w:t>Lei nº 12.973, de 13 de maio de 2014</w:t>
      </w:r>
      <w:r w:rsidR="00B00B5F" w:rsidRPr="0041278D">
        <w:rPr>
          <w:rFonts w:ascii="Times New Roman" w:hAnsi="Times New Roman" w:cs="Times New Roman"/>
        </w:rPr>
        <w:t>. Disponível em: &lt;</w:t>
      </w:r>
      <w:hyperlink r:id="rId14" w:history="1">
        <w:r w:rsidR="00CE4B61" w:rsidRPr="0041278D">
          <w:rPr>
            <w:rStyle w:val="Hyperlink"/>
            <w:rFonts w:ascii="Times New Roman" w:hAnsi="Times New Roman" w:cs="Times New Roman"/>
          </w:rPr>
          <w:t>L12973 (planalto.gov.br)</w:t>
        </w:r>
      </w:hyperlink>
      <w:r w:rsidR="00B00B5F" w:rsidRPr="0041278D">
        <w:rPr>
          <w:rFonts w:ascii="Times New Roman" w:hAnsi="Times New Roman" w:cs="Times New Roman"/>
          <w:color w:val="000000"/>
        </w:rPr>
        <w:t xml:space="preserve">&gt;. Acesso em: </w:t>
      </w:r>
      <w:r w:rsidR="00CE4B61" w:rsidRPr="0041278D">
        <w:rPr>
          <w:rFonts w:ascii="Times New Roman" w:hAnsi="Times New Roman" w:cs="Times New Roman"/>
          <w:color w:val="000000"/>
        </w:rPr>
        <w:t>07 dez</w:t>
      </w:r>
      <w:r w:rsidR="00B00B5F" w:rsidRPr="0041278D">
        <w:rPr>
          <w:rFonts w:ascii="Times New Roman" w:hAnsi="Times New Roman" w:cs="Times New Roman"/>
          <w:color w:val="000000"/>
        </w:rPr>
        <w:t>. 2020.</w:t>
      </w:r>
    </w:p>
    <w:p w14:paraId="1059955D" w14:textId="6D6872F6" w:rsidR="0074682B" w:rsidRPr="0041278D" w:rsidRDefault="003C2C9D" w:rsidP="0094763A">
      <w:pPr>
        <w:spacing w:after="120"/>
        <w:jc w:val="both"/>
        <w:rPr>
          <w:rFonts w:ascii="Times New Roman" w:hAnsi="Times New Roman" w:cs="Times New Roman"/>
        </w:rPr>
      </w:pPr>
      <w:r w:rsidRPr="0041278D">
        <w:rPr>
          <w:rFonts w:ascii="Times New Roman" w:hAnsi="Times New Roman" w:cs="Times New Roman"/>
        </w:rPr>
        <w:t xml:space="preserve">CABEDA, Diogo. </w:t>
      </w:r>
      <w:r w:rsidRPr="0041278D">
        <w:rPr>
          <w:rFonts w:ascii="Times New Roman" w:hAnsi="Times New Roman" w:cs="Times New Roman"/>
          <w:b/>
          <w:bCs/>
        </w:rPr>
        <w:t>A taxa tributária efetiva e a neutralidade fiscal nas empresas de capital aberto no Brasil: um estudo a partir da adoção das normas internacionais de contabilidade e da Lei n</w:t>
      </w:r>
      <w:r w:rsidRPr="0041278D">
        <w:rPr>
          <w:rFonts w:ascii="Times New Roman" w:hAnsi="Times New Roman" w:cs="Times New Roman"/>
          <w:b/>
          <w:bCs/>
          <w:u w:val="single"/>
          <w:vertAlign w:val="superscript"/>
        </w:rPr>
        <w:t>o</w:t>
      </w:r>
      <w:r w:rsidRPr="0041278D">
        <w:rPr>
          <w:rFonts w:ascii="Times New Roman" w:hAnsi="Times New Roman" w:cs="Times New Roman"/>
          <w:b/>
          <w:bCs/>
        </w:rPr>
        <w:t xml:space="preserve"> 12.973/2014</w:t>
      </w:r>
      <w:r w:rsidRPr="0041278D">
        <w:rPr>
          <w:rFonts w:ascii="Times New Roman" w:hAnsi="Times New Roman" w:cs="Times New Roman"/>
        </w:rPr>
        <w:t>. Dissertação (Mestrado em Controladoria e Contabilidade</w:t>
      </w:r>
      <w:r w:rsidR="005C6F6A" w:rsidRPr="0041278D">
        <w:rPr>
          <w:rFonts w:ascii="Times New Roman" w:hAnsi="Times New Roman" w:cs="Times New Roman"/>
        </w:rPr>
        <w:t>) – Faculdade de Ciências Econômicas, Universidade Federal do Rio Grande do Sul, Porto Alegre, 2020.</w:t>
      </w:r>
    </w:p>
    <w:p w14:paraId="7CA1B3A3" w14:textId="5B0F39DB" w:rsidR="003C2C9D" w:rsidRPr="0041278D" w:rsidRDefault="0074682B" w:rsidP="0094763A">
      <w:pPr>
        <w:spacing w:after="120"/>
        <w:jc w:val="both"/>
        <w:rPr>
          <w:rFonts w:ascii="Times New Roman" w:hAnsi="Times New Roman" w:cs="Times New Roman"/>
        </w:rPr>
      </w:pPr>
      <w:r w:rsidRPr="0041278D">
        <w:rPr>
          <w:rFonts w:ascii="Times New Roman" w:hAnsi="Times New Roman" w:cs="Times New Roman"/>
        </w:rPr>
        <w:t xml:space="preserve">CABELLO, O. G. </w:t>
      </w:r>
      <w:r w:rsidRPr="0041278D">
        <w:rPr>
          <w:rFonts w:ascii="Times New Roman" w:hAnsi="Times New Roman" w:cs="Times New Roman"/>
          <w:b/>
          <w:bCs/>
        </w:rPr>
        <w:t>A</w:t>
      </w:r>
      <w:r w:rsidR="00BE38F5" w:rsidRPr="0041278D">
        <w:rPr>
          <w:rFonts w:ascii="Times New Roman" w:hAnsi="Times New Roman" w:cs="Times New Roman"/>
          <w:b/>
          <w:bCs/>
        </w:rPr>
        <w:t>ná</w:t>
      </w:r>
      <w:r w:rsidRPr="0041278D">
        <w:rPr>
          <w:rFonts w:ascii="Times New Roman" w:hAnsi="Times New Roman" w:cs="Times New Roman"/>
          <w:b/>
          <w:bCs/>
        </w:rPr>
        <w:t>lise dos efeitos das p</w:t>
      </w:r>
      <w:r w:rsidR="00BE38F5" w:rsidRPr="0041278D">
        <w:rPr>
          <w:rFonts w:ascii="Times New Roman" w:hAnsi="Times New Roman" w:cs="Times New Roman"/>
          <w:b/>
          <w:bCs/>
        </w:rPr>
        <w:t>rá</w:t>
      </w:r>
      <w:r w:rsidRPr="0041278D">
        <w:rPr>
          <w:rFonts w:ascii="Times New Roman" w:hAnsi="Times New Roman" w:cs="Times New Roman"/>
          <w:b/>
          <w:bCs/>
        </w:rPr>
        <w:t xml:space="preserve">ticas de tributação do lucro na </w:t>
      </w:r>
      <w:proofErr w:type="spellStart"/>
      <w:r w:rsidRPr="0041278D">
        <w:rPr>
          <w:rFonts w:ascii="Times New Roman" w:hAnsi="Times New Roman" w:cs="Times New Roman"/>
          <w:b/>
          <w:bCs/>
        </w:rPr>
        <w:t>Effective</w:t>
      </w:r>
      <w:proofErr w:type="spellEnd"/>
      <w:r w:rsidRPr="0041278D">
        <w:rPr>
          <w:rFonts w:ascii="Times New Roman" w:hAnsi="Times New Roman" w:cs="Times New Roman"/>
          <w:b/>
          <w:bCs/>
        </w:rPr>
        <w:t xml:space="preserve"> </w:t>
      </w:r>
      <w:proofErr w:type="spellStart"/>
      <w:r w:rsidRPr="0041278D">
        <w:rPr>
          <w:rFonts w:ascii="Times New Roman" w:hAnsi="Times New Roman" w:cs="Times New Roman"/>
          <w:b/>
          <w:bCs/>
        </w:rPr>
        <w:t>Tax</w:t>
      </w:r>
      <w:proofErr w:type="spellEnd"/>
      <w:r w:rsidRPr="0041278D">
        <w:rPr>
          <w:rFonts w:ascii="Times New Roman" w:hAnsi="Times New Roman" w:cs="Times New Roman"/>
          <w:b/>
          <w:bCs/>
        </w:rPr>
        <w:t xml:space="preserve"> Rate (ETR) das companhias abertas brasileiras: uma abordagem da teoria das escolhas con</w:t>
      </w:r>
      <w:r w:rsidR="00626C96" w:rsidRPr="0041278D">
        <w:rPr>
          <w:rFonts w:ascii="Times New Roman" w:hAnsi="Times New Roman" w:cs="Times New Roman"/>
          <w:b/>
          <w:bCs/>
        </w:rPr>
        <w:t>tá</w:t>
      </w:r>
      <w:r w:rsidRPr="0041278D">
        <w:rPr>
          <w:rFonts w:ascii="Times New Roman" w:hAnsi="Times New Roman" w:cs="Times New Roman"/>
          <w:b/>
          <w:bCs/>
        </w:rPr>
        <w:t>beis</w:t>
      </w:r>
      <w:r w:rsidRPr="0041278D">
        <w:rPr>
          <w:rFonts w:ascii="Times New Roman" w:hAnsi="Times New Roman" w:cs="Times New Roman"/>
        </w:rPr>
        <w:t xml:space="preserve">. </w:t>
      </w:r>
      <w:r w:rsidR="00BE38F5" w:rsidRPr="0041278D">
        <w:rPr>
          <w:rFonts w:ascii="Times New Roman" w:hAnsi="Times New Roman" w:cs="Times New Roman"/>
        </w:rPr>
        <w:t xml:space="preserve">Tese </w:t>
      </w:r>
      <w:r w:rsidR="00626C96" w:rsidRPr="0041278D">
        <w:rPr>
          <w:rFonts w:ascii="Times New Roman" w:hAnsi="Times New Roman" w:cs="Times New Roman"/>
        </w:rPr>
        <w:t>(</w:t>
      </w:r>
      <w:r w:rsidR="00BE38F5" w:rsidRPr="0041278D">
        <w:rPr>
          <w:rFonts w:ascii="Times New Roman" w:hAnsi="Times New Roman" w:cs="Times New Roman"/>
        </w:rPr>
        <w:t>Doutorado em Controladoria e Contabilidade</w:t>
      </w:r>
      <w:r w:rsidR="00626C96" w:rsidRPr="0041278D">
        <w:rPr>
          <w:rFonts w:ascii="Times New Roman" w:hAnsi="Times New Roman" w:cs="Times New Roman"/>
        </w:rPr>
        <w:t>)</w:t>
      </w:r>
      <w:r w:rsidR="00BE38F5" w:rsidRPr="0041278D">
        <w:rPr>
          <w:rFonts w:ascii="Times New Roman" w:hAnsi="Times New Roman" w:cs="Times New Roman"/>
        </w:rPr>
        <w:t xml:space="preserve"> </w:t>
      </w:r>
      <w:r w:rsidR="00626C96" w:rsidRPr="0041278D">
        <w:rPr>
          <w:rFonts w:ascii="Times New Roman" w:hAnsi="Times New Roman" w:cs="Times New Roman"/>
        </w:rPr>
        <w:t>–</w:t>
      </w:r>
      <w:r w:rsidRPr="0041278D">
        <w:rPr>
          <w:rFonts w:ascii="Times New Roman" w:hAnsi="Times New Roman" w:cs="Times New Roman"/>
        </w:rPr>
        <w:t xml:space="preserve"> Faculdade de Economia, Administração e Contabilidade, Universidade de São Paulo</w:t>
      </w:r>
      <w:r w:rsidR="00626C96" w:rsidRPr="0041278D">
        <w:rPr>
          <w:rFonts w:ascii="Times New Roman" w:hAnsi="Times New Roman" w:cs="Times New Roman"/>
        </w:rPr>
        <w:t>. São Paulo,</w:t>
      </w:r>
      <w:r w:rsidRPr="0041278D">
        <w:rPr>
          <w:rFonts w:ascii="Times New Roman" w:hAnsi="Times New Roman" w:cs="Times New Roman"/>
        </w:rPr>
        <w:t xml:space="preserve"> 2012. </w:t>
      </w:r>
    </w:p>
    <w:p w14:paraId="1B7901B8" w14:textId="722B7560" w:rsidR="00E321C4" w:rsidRPr="0041278D" w:rsidRDefault="00E321C4" w:rsidP="0094763A">
      <w:pPr>
        <w:spacing w:after="120"/>
        <w:jc w:val="both"/>
        <w:rPr>
          <w:rFonts w:ascii="Times New Roman" w:hAnsi="Times New Roman" w:cs="Times New Roman"/>
        </w:rPr>
      </w:pPr>
      <w:r w:rsidRPr="0041278D">
        <w:rPr>
          <w:rFonts w:ascii="Times New Roman" w:hAnsi="Times New Roman" w:cs="Times New Roman"/>
        </w:rPr>
        <w:t>CALLIHAN</w:t>
      </w:r>
      <w:r w:rsidR="00140442" w:rsidRPr="0041278D">
        <w:rPr>
          <w:rFonts w:ascii="Times New Roman" w:hAnsi="Times New Roman" w:cs="Times New Roman"/>
        </w:rPr>
        <w:t xml:space="preserve">, D. S. Corporate </w:t>
      </w:r>
      <w:proofErr w:type="spellStart"/>
      <w:r w:rsidR="00140442" w:rsidRPr="0041278D">
        <w:rPr>
          <w:rFonts w:ascii="Times New Roman" w:hAnsi="Times New Roman" w:cs="Times New Roman"/>
        </w:rPr>
        <w:t>Effective</w:t>
      </w:r>
      <w:proofErr w:type="spellEnd"/>
      <w:r w:rsidR="00140442" w:rsidRPr="0041278D">
        <w:rPr>
          <w:rFonts w:ascii="Times New Roman" w:hAnsi="Times New Roman" w:cs="Times New Roman"/>
        </w:rPr>
        <w:t xml:space="preserve"> </w:t>
      </w:r>
      <w:proofErr w:type="spellStart"/>
      <w:r w:rsidR="00140442" w:rsidRPr="0041278D">
        <w:rPr>
          <w:rFonts w:ascii="Times New Roman" w:hAnsi="Times New Roman" w:cs="Times New Roman"/>
        </w:rPr>
        <w:t>Tax</w:t>
      </w:r>
      <w:proofErr w:type="spellEnd"/>
      <w:r w:rsidR="00140442" w:rsidRPr="0041278D">
        <w:rPr>
          <w:rFonts w:ascii="Times New Roman" w:hAnsi="Times New Roman" w:cs="Times New Roman"/>
        </w:rPr>
        <w:t xml:space="preserve"> Rate: A </w:t>
      </w:r>
      <w:proofErr w:type="spellStart"/>
      <w:r w:rsidR="00140442" w:rsidRPr="0041278D">
        <w:rPr>
          <w:rFonts w:ascii="Times New Roman" w:hAnsi="Times New Roman" w:cs="Times New Roman"/>
        </w:rPr>
        <w:t>Synthesis</w:t>
      </w:r>
      <w:proofErr w:type="spellEnd"/>
      <w:r w:rsidR="00140442" w:rsidRPr="0041278D">
        <w:rPr>
          <w:rFonts w:ascii="Times New Roman" w:hAnsi="Times New Roman" w:cs="Times New Roman"/>
        </w:rPr>
        <w:t xml:space="preserve"> </w:t>
      </w:r>
      <w:proofErr w:type="spellStart"/>
      <w:r w:rsidR="00140442" w:rsidRPr="0041278D">
        <w:rPr>
          <w:rFonts w:ascii="Times New Roman" w:hAnsi="Times New Roman" w:cs="Times New Roman"/>
        </w:rPr>
        <w:t>of</w:t>
      </w:r>
      <w:proofErr w:type="spellEnd"/>
      <w:r w:rsidR="00140442" w:rsidRPr="0041278D">
        <w:rPr>
          <w:rFonts w:ascii="Times New Roman" w:hAnsi="Times New Roman" w:cs="Times New Roman"/>
        </w:rPr>
        <w:t xml:space="preserve"> </w:t>
      </w:r>
      <w:proofErr w:type="spellStart"/>
      <w:r w:rsidR="00140442" w:rsidRPr="0041278D">
        <w:rPr>
          <w:rFonts w:ascii="Times New Roman" w:hAnsi="Times New Roman" w:cs="Times New Roman"/>
        </w:rPr>
        <w:t>Literature</w:t>
      </w:r>
      <w:proofErr w:type="spellEnd"/>
      <w:r w:rsidR="00140442" w:rsidRPr="0041278D">
        <w:rPr>
          <w:rFonts w:ascii="Times New Roman" w:hAnsi="Times New Roman" w:cs="Times New Roman"/>
        </w:rPr>
        <w:t xml:space="preserve">. </w:t>
      </w:r>
      <w:proofErr w:type="spellStart"/>
      <w:r w:rsidR="00140442" w:rsidRPr="0041278D">
        <w:rPr>
          <w:rFonts w:ascii="Times New Roman" w:hAnsi="Times New Roman" w:cs="Times New Roman"/>
          <w:b/>
          <w:bCs/>
        </w:rPr>
        <w:t>Journal</w:t>
      </w:r>
      <w:proofErr w:type="spellEnd"/>
      <w:r w:rsidR="00140442" w:rsidRPr="0041278D">
        <w:rPr>
          <w:rFonts w:ascii="Times New Roman" w:hAnsi="Times New Roman" w:cs="Times New Roman"/>
          <w:b/>
          <w:bCs/>
        </w:rPr>
        <w:t xml:space="preserve"> </w:t>
      </w:r>
      <w:proofErr w:type="spellStart"/>
      <w:r w:rsidR="00140442" w:rsidRPr="0041278D">
        <w:rPr>
          <w:rFonts w:ascii="Times New Roman" w:hAnsi="Times New Roman" w:cs="Times New Roman"/>
          <w:b/>
          <w:bCs/>
        </w:rPr>
        <w:t>of</w:t>
      </w:r>
      <w:proofErr w:type="spellEnd"/>
      <w:r w:rsidR="00140442" w:rsidRPr="0041278D">
        <w:rPr>
          <w:rFonts w:ascii="Times New Roman" w:hAnsi="Times New Roman" w:cs="Times New Roman"/>
          <w:b/>
          <w:bCs/>
        </w:rPr>
        <w:t xml:space="preserve"> </w:t>
      </w:r>
      <w:proofErr w:type="spellStart"/>
      <w:r w:rsidR="00140442" w:rsidRPr="0041278D">
        <w:rPr>
          <w:rFonts w:ascii="Times New Roman" w:hAnsi="Times New Roman" w:cs="Times New Roman"/>
          <w:b/>
          <w:bCs/>
        </w:rPr>
        <w:t>Accounting</w:t>
      </w:r>
      <w:proofErr w:type="spellEnd"/>
      <w:r w:rsidR="00140442" w:rsidRPr="0041278D">
        <w:rPr>
          <w:rFonts w:ascii="Times New Roman" w:hAnsi="Times New Roman" w:cs="Times New Roman"/>
          <w:b/>
          <w:bCs/>
        </w:rPr>
        <w:t xml:space="preserve"> </w:t>
      </w:r>
      <w:proofErr w:type="spellStart"/>
      <w:r w:rsidR="00140442" w:rsidRPr="0041278D">
        <w:rPr>
          <w:rFonts w:ascii="Times New Roman" w:hAnsi="Times New Roman" w:cs="Times New Roman"/>
          <w:b/>
          <w:bCs/>
        </w:rPr>
        <w:t>Literature</w:t>
      </w:r>
      <w:proofErr w:type="spellEnd"/>
      <w:r w:rsidR="00140442" w:rsidRPr="0041278D">
        <w:rPr>
          <w:rFonts w:ascii="Times New Roman" w:hAnsi="Times New Roman" w:cs="Times New Roman"/>
        </w:rPr>
        <w:t xml:space="preserve">. Vol. 13, 1994, p. 1-43. </w:t>
      </w:r>
    </w:p>
    <w:p w14:paraId="4F9B37A2" w14:textId="0842D685" w:rsidR="000763A2" w:rsidRPr="0041278D" w:rsidRDefault="000763A2" w:rsidP="0094763A">
      <w:pPr>
        <w:spacing w:after="120"/>
        <w:jc w:val="both"/>
        <w:rPr>
          <w:rFonts w:ascii="Times New Roman" w:hAnsi="Times New Roman" w:cs="Times New Roman"/>
        </w:rPr>
      </w:pPr>
      <w:r w:rsidRPr="0041278D">
        <w:rPr>
          <w:rFonts w:ascii="Times New Roman" w:hAnsi="Times New Roman" w:cs="Times New Roman"/>
        </w:rPr>
        <w:lastRenderedPageBreak/>
        <w:t xml:space="preserve">CARVALHO, Valdemir Galvão et al. Limitações da </w:t>
      </w:r>
      <w:proofErr w:type="spellStart"/>
      <w:r w:rsidRPr="0041278D">
        <w:rPr>
          <w:rFonts w:ascii="Times New Roman" w:hAnsi="Times New Roman" w:cs="Times New Roman"/>
          <w:i/>
          <w:iCs/>
        </w:rPr>
        <w:t>effective</w:t>
      </w:r>
      <w:proofErr w:type="spellEnd"/>
      <w:r w:rsidRPr="0041278D">
        <w:rPr>
          <w:rFonts w:ascii="Times New Roman" w:hAnsi="Times New Roman" w:cs="Times New Roman"/>
          <w:i/>
          <w:iCs/>
        </w:rPr>
        <w:t xml:space="preserve"> </w:t>
      </w:r>
      <w:proofErr w:type="spellStart"/>
      <w:r w:rsidRPr="0041278D">
        <w:rPr>
          <w:rFonts w:ascii="Times New Roman" w:hAnsi="Times New Roman" w:cs="Times New Roman"/>
          <w:i/>
          <w:iCs/>
        </w:rPr>
        <w:t>tax</w:t>
      </w:r>
      <w:proofErr w:type="spellEnd"/>
      <w:r w:rsidRPr="0041278D">
        <w:rPr>
          <w:rFonts w:ascii="Times New Roman" w:hAnsi="Times New Roman" w:cs="Times New Roman"/>
          <w:i/>
          <w:iCs/>
        </w:rPr>
        <w:t xml:space="preserve"> rate</w:t>
      </w:r>
      <w:r w:rsidRPr="0041278D">
        <w:rPr>
          <w:rFonts w:ascii="Times New Roman" w:hAnsi="Times New Roman" w:cs="Times New Roman"/>
        </w:rPr>
        <w:t xml:space="preserve"> na mensuração do desempenho das companhias brasileiras. </w:t>
      </w:r>
      <w:r w:rsidRPr="0041278D">
        <w:rPr>
          <w:rFonts w:ascii="Times New Roman" w:hAnsi="Times New Roman" w:cs="Times New Roman"/>
          <w:b/>
          <w:bCs/>
        </w:rPr>
        <w:t>RIC – Revista de Informação Contábil</w:t>
      </w:r>
      <w:r w:rsidRPr="0041278D">
        <w:rPr>
          <w:rFonts w:ascii="Times New Roman" w:hAnsi="Times New Roman" w:cs="Times New Roman"/>
        </w:rPr>
        <w:t>. Recife, vol. 11, núm. 1, janeiro-março, 2017, p. 56-75.</w:t>
      </w:r>
      <w:r w:rsidR="00AE24E0" w:rsidRPr="0041278D">
        <w:rPr>
          <w:rFonts w:ascii="Times New Roman" w:hAnsi="Times New Roman" w:cs="Times New Roman"/>
        </w:rPr>
        <w:t xml:space="preserve"> 2017.</w:t>
      </w:r>
    </w:p>
    <w:p w14:paraId="7834AC74" w14:textId="072C5C80" w:rsidR="00E161AA" w:rsidRPr="0041278D" w:rsidRDefault="00AE24E0" w:rsidP="0094763A">
      <w:pPr>
        <w:spacing w:after="120"/>
        <w:jc w:val="both"/>
        <w:rPr>
          <w:rFonts w:ascii="Times New Roman" w:hAnsi="Times New Roman" w:cs="Times New Roman"/>
        </w:rPr>
      </w:pPr>
      <w:r w:rsidRPr="0041278D">
        <w:rPr>
          <w:rFonts w:ascii="Times New Roman" w:hAnsi="Times New Roman" w:cs="Times New Roman"/>
        </w:rPr>
        <w:t>COMISSÃO DE VALORES MOBILIÁRIOS. Portal Dados Abertos CVM, 2020.</w:t>
      </w:r>
      <w:r w:rsidR="00E161AA" w:rsidRPr="0041278D">
        <w:rPr>
          <w:rFonts w:ascii="Times New Roman" w:hAnsi="Times New Roman" w:cs="Times New Roman"/>
        </w:rPr>
        <w:t xml:space="preserve"> </w:t>
      </w:r>
      <w:r w:rsidR="00E161AA" w:rsidRPr="0041278D">
        <w:rPr>
          <w:rFonts w:ascii="Times New Roman" w:hAnsi="Times New Roman" w:cs="Times New Roman"/>
          <w:b/>
          <w:bCs/>
        </w:rPr>
        <w:t>Cias Abertas: Informação Cadastral</w:t>
      </w:r>
      <w:r w:rsidR="00E161AA" w:rsidRPr="0041278D">
        <w:rPr>
          <w:rFonts w:ascii="Times New Roman" w:hAnsi="Times New Roman" w:cs="Times New Roman"/>
        </w:rPr>
        <w:t xml:space="preserve">. Disponível em: &lt; </w:t>
      </w:r>
      <w:hyperlink r:id="rId15" w:history="1">
        <w:r w:rsidR="00E161AA" w:rsidRPr="0041278D">
          <w:rPr>
            <w:rStyle w:val="Hyperlink"/>
            <w:rFonts w:ascii="Times New Roman" w:hAnsi="Times New Roman" w:cs="Times New Roman"/>
          </w:rPr>
          <w:t>Cias Abertas: Informação Cadastral - Conjuntos de dados - Portal Dados Abertos CVM</w:t>
        </w:r>
      </w:hyperlink>
      <w:r w:rsidR="00E161AA" w:rsidRPr="0041278D">
        <w:rPr>
          <w:rFonts w:ascii="Times New Roman" w:hAnsi="Times New Roman" w:cs="Times New Roman"/>
        </w:rPr>
        <w:t xml:space="preserve">&gt;. Acesso em: </w:t>
      </w:r>
      <w:r w:rsidR="00CE4B61" w:rsidRPr="0041278D">
        <w:rPr>
          <w:rFonts w:ascii="Times New Roman" w:hAnsi="Times New Roman" w:cs="Times New Roman"/>
        </w:rPr>
        <w:t>29 ago</w:t>
      </w:r>
      <w:r w:rsidR="00E161AA" w:rsidRPr="0041278D">
        <w:rPr>
          <w:rFonts w:ascii="Times New Roman" w:hAnsi="Times New Roman" w:cs="Times New Roman"/>
        </w:rPr>
        <w:t>. 2020.</w:t>
      </w:r>
    </w:p>
    <w:p w14:paraId="0D0BB5B9" w14:textId="4BE5461C" w:rsidR="00064A23" w:rsidRPr="0041278D" w:rsidRDefault="00E161AA" w:rsidP="0094763A">
      <w:pPr>
        <w:spacing w:after="120"/>
        <w:jc w:val="both"/>
        <w:rPr>
          <w:rFonts w:ascii="Times New Roman" w:hAnsi="Times New Roman" w:cs="Times New Roman"/>
        </w:rPr>
      </w:pPr>
      <w:r w:rsidRPr="0041278D">
        <w:rPr>
          <w:rFonts w:ascii="Times New Roman" w:hAnsi="Times New Roman" w:cs="Times New Roman"/>
        </w:rPr>
        <w:t xml:space="preserve">__________. Portal Dados Abertos CVM, 2020. Cias Abertas: </w:t>
      </w:r>
      <w:r w:rsidRPr="0041278D">
        <w:rPr>
          <w:rFonts w:ascii="Times New Roman" w:hAnsi="Times New Roman" w:cs="Times New Roman"/>
          <w:b/>
          <w:bCs/>
        </w:rPr>
        <w:t>Documentos: Formulário de Informações Trimestrais</w:t>
      </w:r>
      <w:r w:rsidRPr="0041278D">
        <w:rPr>
          <w:rFonts w:ascii="Times New Roman" w:hAnsi="Times New Roman" w:cs="Times New Roman"/>
        </w:rPr>
        <w:t xml:space="preserve">. </w:t>
      </w:r>
      <w:r w:rsidR="0054420C" w:rsidRPr="0041278D">
        <w:rPr>
          <w:rFonts w:ascii="Times New Roman" w:hAnsi="Times New Roman" w:cs="Times New Roman"/>
        </w:rPr>
        <w:t xml:space="preserve">Disponível em: &lt; </w:t>
      </w:r>
      <w:hyperlink r:id="rId16" w:history="1">
        <w:r w:rsidR="0054420C" w:rsidRPr="0041278D">
          <w:rPr>
            <w:rStyle w:val="Hyperlink"/>
            <w:rFonts w:ascii="Times New Roman" w:hAnsi="Times New Roman" w:cs="Times New Roman"/>
          </w:rPr>
          <w:t>Cias Abertas: Documentos: Formulário de Informações Trimestrais (ITR) - Conjuntos de dados - Portal Dados Abertos CVM</w:t>
        </w:r>
      </w:hyperlink>
      <w:r w:rsidR="0054420C" w:rsidRPr="0041278D">
        <w:rPr>
          <w:rFonts w:ascii="Times New Roman" w:hAnsi="Times New Roman" w:cs="Times New Roman"/>
        </w:rPr>
        <w:t>&gt;. Acesso em: 2</w:t>
      </w:r>
      <w:r w:rsidR="00CE4B61" w:rsidRPr="0041278D">
        <w:rPr>
          <w:rFonts w:ascii="Times New Roman" w:hAnsi="Times New Roman" w:cs="Times New Roman"/>
        </w:rPr>
        <w:t>9</w:t>
      </w:r>
      <w:r w:rsidR="0054420C" w:rsidRPr="0041278D">
        <w:rPr>
          <w:rFonts w:ascii="Times New Roman" w:hAnsi="Times New Roman" w:cs="Times New Roman"/>
        </w:rPr>
        <w:t xml:space="preserve"> ago. 2020.</w:t>
      </w:r>
    </w:p>
    <w:p w14:paraId="311538AC" w14:textId="35BF6F13" w:rsidR="00EC2B00" w:rsidRPr="0041278D" w:rsidRDefault="00064A23" w:rsidP="0094763A">
      <w:pPr>
        <w:spacing w:after="120"/>
        <w:jc w:val="both"/>
        <w:rPr>
          <w:rFonts w:ascii="Times New Roman" w:hAnsi="Times New Roman" w:cs="Times New Roman"/>
        </w:rPr>
      </w:pPr>
      <w:r w:rsidRPr="0041278D">
        <w:rPr>
          <w:rFonts w:ascii="Times New Roman" w:hAnsi="Times New Roman" w:cs="Times New Roman"/>
        </w:rPr>
        <w:t>COMITÊ DE PRONUNCIAMENTOS CONTÁBEIS</w:t>
      </w:r>
      <w:r w:rsidRPr="0041278D">
        <w:rPr>
          <w:rFonts w:ascii="Times New Roman" w:hAnsi="Times New Roman" w:cs="Times New Roman"/>
          <w:b/>
          <w:bCs/>
        </w:rPr>
        <w:t>. Pronunciamento Técnico CPC 32, de 17 de julho de 2009</w:t>
      </w:r>
      <w:r w:rsidRPr="0041278D">
        <w:rPr>
          <w:rFonts w:ascii="Times New Roman" w:hAnsi="Times New Roman" w:cs="Times New Roman"/>
        </w:rPr>
        <w:t xml:space="preserve">. Disponível em: &lt; </w:t>
      </w:r>
      <w:hyperlink r:id="rId17" w:history="1">
        <w:r w:rsidRPr="0041278D">
          <w:rPr>
            <w:rStyle w:val="Hyperlink"/>
            <w:rFonts w:ascii="Times New Roman" w:hAnsi="Times New Roman" w:cs="Times New Roman"/>
          </w:rPr>
          <w:t>Pronunciamento (cpc.org.br)</w:t>
        </w:r>
      </w:hyperlink>
      <w:r w:rsidRPr="0041278D">
        <w:rPr>
          <w:rFonts w:ascii="Times New Roman" w:hAnsi="Times New Roman" w:cs="Times New Roman"/>
        </w:rPr>
        <w:t>&gt;. Acesso em: 25 ago. 2020.</w:t>
      </w:r>
    </w:p>
    <w:p w14:paraId="1D04B737" w14:textId="0C14E9A6" w:rsidR="00EC2B00" w:rsidRPr="0041278D" w:rsidRDefault="00EC2B00" w:rsidP="0094763A">
      <w:pPr>
        <w:spacing w:after="120"/>
        <w:jc w:val="both"/>
        <w:rPr>
          <w:rFonts w:ascii="Times New Roman" w:hAnsi="Times New Roman" w:cs="Times New Roman"/>
        </w:rPr>
      </w:pPr>
      <w:r w:rsidRPr="0041278D">
        <w:rPr>
          <w:rFonts w:ascii="Times New Roman" w:hAnsi="Times New Roman" w:cs="Times New Roman"/>
        </w:rPr>
        <w:t xml:space="preserve">CRESWELL, John W. </w:t>
      </w:r>
      <w:r w:rsidRPr="0041278D">
        <w:rPr>
          <w:rFonts w:ascii="Times New Roman" w:hAnsi="Times New Roman" w:cs="Times New Roman"/>
          <w:b/>
          <w:bCs/>
        </w:rPr>
        <w:t>Projeto de pesquisa: métodos qualitativo, quantitativo e misto</w:t>
      </w:r>
      <w:r w:rsidRPr="0041278D">
        <w:rPr>
          <w:rFonts w:ascii="Times New Roman" w:hAnsi="Times New Roman" w:cs="Times New Roman"/>
        </w:rPr>
        <w:t>. 3 ed. Porto Alegre: Artmed, 2010.</w:t>
      </w:r>
    </w:p>
    <w:p w14:paraId="3C6319CD" w14:textId="19542C32" w:rsidR="00952014" w:rsidRPr="0041278D" w:rsidRDefault="00952014" w:rsidP="0094763A">
      <w:pPr>
        <w:spacing w:after="120"/>
        <w:jc w:val="both"/>
        <w:rPr>
          <w:rFonts w:ascii="Times New Roman" w:hAnsi="Times New Roman" w:cs="Times New Roman"/>
        </w:rPr>
      </w:pPr>
      <w:r w:rsidRPr="0041278D">
        <w:rPr>
          <w:rFonts w:ascii="Times New Roman" w:hAnsi="Times New Roman" w:cs="Times New Roman"/>
        </w:rPr>
        <w:t xml:space="preserve">FÁVERO, </w:t>
      </w:r>
      <w:r w:rsidR="00083A6F" w:rsidRPr="0041278D">
        <w:rPr>
          <w:rFonts w:ascii="Times New Roman" w:hAnsi="Times New Roman" w:cs="Times New Roman"/>
        </w:rPr>
        <w:t>Luiz Paulo; BELFIORE, Patrícia. Manual de Análise de Dados. 1 ed. Rio de Janeiro: LTC, 2020.</w:t>
      </w:r>
    </w:p>
    <w:p w14:paraId="5D844461" w14:textId="06DB7DE2" w:rsidR="0025066D" w:rsidRPr="0041278D" w:rsidRDefault="00B26941" w:rsidP="0094763A">
      <w:pPr>
        <w:spacing w:after="120"/>
        <w:jc w:val="both"/>
        <w:rPr>
          <w:rFonts w:ascii="Times New Roman" w:hAnsi="Times New Roman" w:cs="Times New Roman"/>
        </w:rPr>
      </w:pPr>
      <w:r w:rsidRPr="0041278D">
        <w:rPr>
          <w:rFonts w:ascii="Times New Roman" w:hAnsi="Times New Roman" w:cs="Times New Roman"/>
        </w:rPr>
        <w:t xml:space="preserve">FERNANDES, Edison Carlos. Nascimento, vida e morte do Regime Tributário de Transição – RTT. </w:t>
      </w:r>
      <w:r w:rsidRPr="0041278D">
        <w:rPr>
          <w:rFonts w:ascii="Times New Roman" w:hAnsi="Times New Roman" w:cs="Times New Roman"/>
          <w:i/>
          <w:iCs/>
        </w:rPr>
        <w:t>In</w:t>
      </w:r>
      <w:r w:rsidR="000763A2" w:rsidRPr="0041278D">
        <w:rPr>
          <w:rFonts w:ascii="Times New Roman" w:hAnsi="Times New Roman" w:cs="Times New Roman"/>
        </w:rPr>
        <w:t>:</w:t>
      </w:r>
      <w:r w:rsidRPr="0041278D">
        <w:rPr>
          <w:rFonts w:ascii="Times New Roman" w:hAnsi="Times New Roman" w:cs="Times New Roman"/>
        </w:rPr>
        <w:t xml:space="preserve"> </w:t>
      </w:r>
      <w:r w:rsidR="000763A2" w:rsidRPr="0041278D">
        <w:rPr>
          <w:rFonts w:ascii="Times New Roman" w:hAnsi="Times New Roman" w:cs="Times New Roman"/>
        </w:rPr>
        <w:t xml:space="preserve">MOSQUERA, Roberto </w:t>
      </w:r>
      <w:proofErr w:type="spellStart"/>
      <w:r w:rsidR="000763A2" w:rsidRPr="0041278D">
        <w:rPr>
          <w:rFonts w:ascii="Times New Roman" w:hAnsi="Times New Roman" w:cs="Times New Roman"/>
        </w:rPr>
        <w:t>Quiroga</w:t>
      </w:r>
      <w:proofErr w:type="spellEnd"/>
      <w:r w:rsidR="000763A2" w:rsidRPr="0041278D">
        <w:rPr>
          <w:rFonts w:ascii="Times New Roman" w:hAnsi="Times New Roman" w:cs="Times New Roman"/>
        </w:rPr>
        <w:t xml:space="preserve">; LOPES, Alexsandro </w:t>
      </w:r>
      <w:proofErr w:type="spellStart"/>
      <w:r w:rsidR="000763A2" w:rsidRPr="0041278D">
        <w:rPr>
          <w:rFonts w:ascii="Times New Roman" w:hAnsi="Times New Roman" w:cs="Times New Roman"/>
        </w:rPr>
        <w:t>Broedel</w:t>
      </w:r>
      <w:proofErr w:type="spellEnd"/>
      <w:r w:rsidR="000763A2" w:rsidRPr="0041278D">
        <w:rPr>
          <w:rFonts w:ascii="Times New Roman" w:hAnsi="Times New Roman" w:cs="Times New Roman"/>
        </w:rPr>
        <w:t xml:space="preserve">. </w:t>
      </w:r>
      <w:r w:rsidRPr="0041278D">
        <w:rPr>
          <w:rFonts w:ascii="Times New Roman" w:hAnsi="Times New Roman" w:cs="Times New Roman"/>
          <w:b/>
          <w:bCs/>
        </w:rPr>
        <w:t>Controvérsias Jurídico-contábeis: aproximações e distanciamentos</w:t>
      </w:r>
      <w:r w:rsidRPr="0041278D">
        <w:rPr>
          <w:rFonts w:ascii="Times New Roman" w:hAnsi="Times New Roman" w:cs="Times New Roman"/>
        </w:rPr>
        <w:t>. 3º vol. São Paulo: Dialética, 2012.</w:t>
      </w:r>
    </w:p>
    <w:p w14:paraId="2D78F9D4" w14:textId="3D3660FA" w:rsidR="00A146E6" w:rsidRPr="0041278D" w:rsidRDefault="00A146E6" w:rsidP="0094763A">
      <w:pPr>
        <w:spacing w:after="120"/>
        <w:jc w:val="both"/>
        <w:rPr>
          <w:rFonts w:ascii="Times New Roman" w:hAnsi="Times New Roman" w:cs="Times New Roman"/>
        </w:rPr>
      </w:pPr>
      <w:r w:rsidRPr="0041278D">
        <w:rPr>
          <w:rFonts w:ascii="Times New Roman" w:hAnsi="Times New Roman" w:cs="Times New Roman"/>
        </w:rPr>
        <w:t xml:space="preserve">FERNANDEZ-RODRÍGUES, Elena; GARCÍA-FERNÁNDEZ, Roberto; </w:t>
      </w:r>
      <w:r w:rsidR="00B5292D" w:rsidRPr="0041278D">
        <w:rPr>
          <w:rFonts w:ascii="Times New Roman" w:hAnsi="Times New Roman" w:cs="Times New Roman"/>
        </w:rPr>
        <w:t xml:space="preserve">MARTÍNEZ-ARIAS, </w:t>
      </w:r>
      <w:proofErr w:type="spellStart"/>
      <w:r w:rsidR="00B5292D" w:rsidRPr="0041278D">
        <w:rPr>
          <w:rFonts w:ascii="Times New Roman" w:hAnsi="Times New Roman" w:cs="Times New Roman"/>
        </w:rPr>
        <w:t>Antonio</w:t>
      </w:r>
      <w:proofErr w:type="spellEnd"/>
      <w:r w:rsidR="00B5292D" w:rsidRPr="0041278D">
        <w:rPr>
          <w:rFonts w:ascii="Times New Roman" w:hAnsi="Times New Roman" w:cs="Times New Roman"/>
        </w:rPr>
        <w:t xml:space="preserve">. Business </w:t>
      </w:r>
      <w:proofErr w:type="spellStart"/>
      <w:r w:rsidR="00B5292D" w:rsidRPr="0041278D">
        <w:rPr>
          <w:rFonts w:ascii="Times New Roman" w:hAnsi="Times New Roman" w:cs="Times New Roman"/>
        </w:rPr>
        <w:t>and</w:t>
      </w:r>
      <w:proofErr w:type="spellEnd"/>
      <w:r w:rsidR="00B5292D" w:rsidRPr="0041278D">
        <w:rPr>
          <w:rFonts w:ascii="Times New Roman" w:hAnsi="Times New Roman" w:cs="Times New Roman"/>
        </w:rPr>
        <w:t xml:space="preserve"> </w:t>
      </w:r>
      <w:proofErr w:type="spellStart"/>
      <w:r w:rsidR="00B5292D" w:rsidRPr="0041278D">
        <w:rPr>
          <w:rFonts w:ascii="Times New Roman" w:hAnsi="Times New Roman" w:cs="Times New Roman"/>
        </w:rPr>
        <w:t>Institutional</w:t>
      </w:r>
      <w:proofErr w:type="spellEnd"/>
      <w:r w:rsidR="00B5292D" w:rsidRPr="0041278D">
        <w:rPr>
          <w:rFonts w:ascii="Times New Roman" w:hAnsi="Times New Roman" w:cs="Times New Roman"/>
        </w:rPr>
        <w:t xml:space="preserve"> </w:t>
      </w:r>
      <w:proofErr w:type="spellStart"/>
      <w:r w:rsidR="00B5292D" w:rsidRPr="0041278D">
        <w:rPr>
          <w:rFonts w:ascii="Times New Roman" w:hAnsi="Times New Roman" w:cs="Times New Roman"/>
        </w:rPr>
        <w:t>Determinants</w:t>
      </w:r>
      <w:proofErr w:type="spellEnd"/>
      <w:r w:rsidR="00B5292D" w:rsidRPr="0041278D">
        <w:rPr>
          <w:rFonts w:ascii="Times New Roman" w:hAnsi="Times New Roman" w:cs="Times New Roman"/>
        </w:rPr>
        <w:t xml:space="preserve"> </w:t>
      </w:r>
      <w:proofErr w:type="spellStart"/>
      <w:r w:rsidR="00B5292D" w:rsidRPr="0041278D">
        <w:rPr>
          <w:rFonts w:ascii="Times New Roman" w:hAnsi="Times New Roman" w:cs="Times New Roman"/>
        </w:rPr>
        <w:t>of</w:t>
      </w:r>
      <w:proofErr w:type="spellEnd"/>
      <w:r w:rsidR="00B5292D" w:rsidRPr="0041278D">
        <w:rPr>
          <w:rFonts w:ascii="Times New Roman" w:hAnsi="Times New Roman" w:cs="Times New Roman"/>
        </w:rPr>
        <w:t xml:space="preserve"> </w:t>
      </w:r>
      <w:proofErr w:type="spellStart"/>
      <w:r w:rsidR="00B5292D" w:rsidRPr="0041278D">
        <w:rPr>
          <w:rFonts w:ascii="Times New Roman" w:hAnsi="Times New Roman" w:cs="Times New Roman"/>
        </w:rPr>
        <w:t>Effective</w:t>
      </w:r>
      <w:proofErr w:type="spellEnd"/>
      <w:r w:rsidR="00B5292D" w:rsidRPr="0041278D">
        <w:rPr>
          <w:rFonts w:ascii="Times New Roman" w:hAnsi="Times New Roman" w:cs="Times New Roman"/>
        </w:rPr>
        <w:t xml:space="preserve"> </w:t>
      </w:r>
      <w:proofErr w:type="spellStart"/>
      <w:r w:rsidR="00B5292D" w:rsidRPr="0041278D">
        <w:rPr>
          <w:rFonts w:ascii="Times New Roman" w:hAnsi="Times New Roman" w:cs="Times New Roman"/>
        </w:rPr>
        <w:t>Tax</w:t>
      </w:r>
      <w:proofErr w:type="spellEnd"/>
      <w:r w:rsidR="00B5292D" w:rsidRPr="0041278D">
        <w:rPr>
          <w:rFonts w:ascii="Times New Roman" w:hAnsi="Times New Roman" w:cs="Times New Roman"/>
        </w:rPr>
        <w:t xml:space="preserve"> Rate in </w:t>
      </w:r>
      <w:proofErr w:type="spellStart"/>
      <w:r w:rsidR="00B5292D" w:rsidRPr="0041278D">
        <w:rPr>
          <w:rFonts w:ascii="Times New Roman" w:hAnsi="Times New Roman" w:cs="Times New Roman"/>
        </w:rPr>
        <w:t>Emerging</w:t>
      </w:r>
      <w:proofErr w:type="spellEnd"/>
      <w:r w:rsidR="00B5292D" w:rsidRPr="0041278D">
        <w:rPr>
          <w:rFonts w:ascii="Times New Roman" w:hAnsi="Times New Roman" w:cs="Times New Roman"/>
        </w:rPr>
        <w:t xml:space="preserve"> </w:t>
      </w:r>
      <w:proofErr w:type="spellStart"/>
      <w:r w:rsidR="00B5292D" w:rsidRPr="0041278D">
        <w:rPr>
          <w:rFonts w:ascii="Times New Roman" w:hAnsi="Times New Roman" w:cs="Times New Roman"/>
        </w:rPr>
        <w:t>Economies</w:t>
      </w:r>
      <w:proofErr w:type="spellEnd"/>
      <w:r w:rsidR="00B5292D" w:rsidRPr="0041278D">
        <w:rPr>
          <w:rFonts w:ascii="Times New Roman" w:hAnsi="Times New Roman" w:cs="Times New Roman"/>
        </w:rPr>
        <w:t xml:space="preserve">. </w:t>
      </w:r>
      <w:proofErr w:type="spellStart"/>
      <w:r w:rsidR="00B5292D" w:rsidRPr="0041278D">
        <w:rPr>
          <w:rFonts w:ascii="Times New Roman" w:hAnsi="Times New Roman" w:cs="Times New Roman"/>
          <w:b/>
          <w:bCs/>
        </w:rPr>
        <w:t>Economic</w:t>
      </w:r>
      <w:proofErr w:type="spellEnd"/>
      <w:r w:rsidR="00B5292D" w:rsidRPr="0041278D">
        <w:rPr>
          <w:rFonts w:ascii="Times New Roman" w:hAnsi="Times New Roman" w:cs="Times New Roman"/>
          <w:b/>
          <w:bCs/>
        </w:rPr>
        <w:t xml:space="preserve"> </w:t>
      </w:r>
      <w:proofErr w:type="spellStart"/>
      <w:r w:rsidR="00B5292D" w:rsidRPr="0041278D">
        <w:rPr>
          <w:rFonts w:ascii="Times New Roman" w:hAnsi="Times New Roman" w:cs="Times New Roman"/>
          <w:b/>
          <w:bCs/>
        </w:rPr>
        <w:t>Modelling</w:t>
      </w:r>
      <w:proofErr w:type="spellEnd"/>
      <w:r w:rsidR="00B5292D" w:rsidRPr="0041278D">
        <w:rPr>
          <w:rFonts w:ascii="Times New Roman" w:hAnsi="Times New Roman" w:cs="Times New Roman"/>
        </w:rPr>
        <w:t>,</w:t>
      </w:r>
      <w:r w:rsidR="00FA4301" w:rsidRPr="0041278D">
        <w:rPr>
          <w:rFonts w:ascii="Times New Roman" w:hAnsi="Times New Roman" w:cs="Times New Roman"/>
        </w:rPr>
        <w:t xml:space="preserve"> Elsevier </w:t>
      </w:r>
      <w:proofErr w:type="spellStart"/>
      <w:r w:rsidR="00FA4301" w:rsidRPr="0041278D">
        <w:rPr>
          <w:rFonts w:ascii="Times New Roman" w:hAnsi="Times New Roman" w:cs="Times New Roman"/>
        </w:rPr>
        <w:t>Journals</w:t>
      </w:r>
      <w:proofErr w:type="spellEnd"/>
      <w:r w:rsidR="00FA4301" w:rsidRPr="0041278D">
        <w:rPr>
          <w:rFonts w:ascii="Times New Roman" w:hAnsi="Times New Roman" w:cs="Times New Roman"/>
        </w:rPr>
        <w:t>, v. 94, jan. 2021, p. 692-702.</w:t>
      </w:r>
      <w:r w:rsidR="00B5292D" w:rsidRPr="0041278D">
        <w:rPr>
          <w:rFonts w:ascii="Times New Roman" w:hAnsi="Times New Roman" w:cs="Times New Roman"/>
        </w:rPr>
        <w:t xml:space="preserve">  </w:t>
      </w:r>
    </w:p>
    <w:p w14:paraId="06074FC7" w14:textId="710F2C61" w:rsidR="00F96896" w:rsidRPr="0041278D" w:rsidRDefault="00F96896" w:rsidP="0094763A">
      <w:pPr>
        <w:spacing w:after="120"/>
        <w:jc w:val="both"/>
        <w:rPr>
          <w:rFonts w:ascii="Times New Roman" w:hAnsi="Times New Roman" w:cs="Times New Roman"/>
        </w:rPr>
      </w:pPr>
      <w:r w:rsidRPr="0041278D">
        <w:rPr>
          <w:rFonts w:ascii="Times New Roman" w:hAnsi="Times New Roman" w:cs="Times New Roman"/>
          <w:color w:val="000000"/>
          <w:shd w:val="clear" w:color="auto" w:fill="FFFFFF"/>
        </w:rPr>
        <w:t xml:space="preserve">FUTEMA, Mariano </w:t>
      </w:r>
      <w:proofErr w:type="spellStart"/>
      <w:r w:rsidRPr="0041278D">
        <w:rPr>
          <w:rFonts w:ascii="Times New Roman" w:hAnsi="Times New Roman" w:cs="Times New Roman"/>
          <w:color w:val="000000"/>
          <w:shd w:val="clear" w:color="auto" w:fill="FFFFFF"/>
        </w:rPr>
        <w:t>Seikitsi</w:t>
      </w:r>
      <w:proofErr w:type="spellEnd"/>
      <w:r w:rsidRPr="0041278D">
        <w:rPr>
          <w:rFonts w:ascii="Times New Roman" w:hAnsi="Times New Roman" w:cs="Times New Roman"/>
          <w:color w:val="000000"/>
          <w:shd w:val="clear" w:color="auto" w:fill="FFFFFF"/>
        </w:rPr>
        <w:t xml:space="preserve">; BASSO, Leonardo Fernando Cruz; KAYO, Eduardo </w:t>
      </w:r>
      <w:proofErr w:type="spellStart"/>
      <w:r w:rsidRPr="0041278D">
        <w:rPr>
          <w:rFonts w:ascii="Times New Roman" w:hAnsi="Times New Roman" w:cs="Times New Roman"/>
          <w:color w:val="000000"/>
          <w:shd w:val="clear" w:color="auto" w:fill="FFFFFF"/>
        </w:rPr>
        <w:t>Kazuo</w:t>
      </w:r>
      <w:proofErr w:type="spellEnd"/>
      <w:r w:rsidRPr="0041278D">
        <w:rPr>
          <w:rFonts w:ascii="Times New Roman" w:hAnsi="Times New Roman" w:cs="Times New Roman"/>
          <w:color w:val="000000"/>
          <w:shd w:val="clear" w:color="auto" w:fill="FFFFFF"/>
        </w:rPr>
        <w:t>. Estrutura de capital, dividendos e juros sobre o capital próprio: testes no Brasil. </w:t>
      </w:r>
      <w:r w:rsidRPr="0041278D">
        <w:rPr>
          <w:rFonts w:ascii="Times New Roman" w:hAnsi="Times New Roman" w:cs="Times New Roman"/>
          <w:b/>
          <w:bCs/>
          <w:color w:val="000000"/>
          <w:shd w:val="clear" w:color="auto" w:fill="FFFFFF"/>
        </w:rPr>
        <w:t>Revista Contabilidade &amp; Finanças</w:t>
      </w:r>
      <w:r w:rsidRPr="0041278D">
        <w:rPr>
          <w:rFonts w:ascii="Times New Roman" w:hAnsi="Times New Roman" w:cs="Times New Roman"/>
          <w:color w:val="000000"/>
          <w:shd w:val="clear" w:color="auto" w:fill="FFFFFF"/>
        </w:rPr>
        <w:t xml:space="preserve">, São Paulo, v. 20, n. </w:t>
      </w:r>
      <w:proofErr w:type="spellStart"/>
      <w:r w:rsidRPr="0041278D">
        <w:rPr>
          <w:rFonts w:ascii="Times New Roman" w:hAnsi="Times New Roman" w:cs="Times New Roman"/>
          <w:color w:val="000000"/>
          <w:shd w:val="clear" w:color="auto" w:fill="FFFFFF"/>
        </w:rPr>
        <w:t>ja</w:t>
      </w:r>
      <w:r w:rsidR="00FA4301" w:rsidRPr="0041278D">
        <w:rPr>
          <w:rFonts w:ascii="Times New Roman" w:hAnsi="Times New Roman" w:cs="Times New Roman"/>
          <w:color w:val="000000"/>
          <w:shd w:val="clear" w:color="auto" w:fill="FFFFFF"/>
        </w:rPr>
        <w:t>n</w:t>
      </w:r>
      <w:proofErr w:type="spellEnd"/>
      <w:r w:rsidRPr="0041278D">
        <w:rPr>
          <w:rFonts w:ascii="Times New Roman" w:hAnsi="Times New Roman" w:cs="Times New Roman"/>
          <w:color w:val="000000"/>
          <w:shd w:val="clear" w:color="auto" w:fill="FFFFFF"/>
        </w:rPr>
        <w:t xml:space="preserve">/abr. 2009, p. 44-62, 2009. </w:t>
      </w:r>
    </w:p>
    <w:p w14:paraId="5565D90E" w14:textId="23F1F572" w:rsidR="00CB1FFC" w:rsidRPr="0041278D" w:rsidRDefault="0025066D" w:rsidP="0094763A">
      <w:pPr>
        <w:spacing w:after="120"/>
        <w:jc w:val="both"/>
        <w:rPr>
          <w:rFonts w:ascii="Times New Roman" w:hAnsi="Times New Roman" w:cs="Times New Roman"/>
        </w:rPr>
      </w:pPr>
      <w:r w:rsidRPr="0041278D">
        <w:rPr>
          <w:rFonts w:ascii="Times New Roman" w:hAnsi="Times New Roman" w:cs="Times New Roman"/>
        </w:rPr>
        <w:t>GOMES,</w:t>
      </w:r>
      <w:r w:rsidR="00CB1FFC" w:rsidRPr="0041278D">
        <w:rPr>
          <w:rFonts w:ascii="Times New Roman" w:hAnsi="Times New Roman" w:cs="Times New Roman"/>
        </w:rPr>
        <w:t xml:space="preserve"> Antônio Paulo Machado. Características da governança corporativa como estímulo à gestão fiscal. </w:t>
      </w:r>
      <w:r w:rsidR="00CB1FFC" w:rsidRPr="0041278D">
        <w:rPr>
          <w:rFonts w:ascii="Times New Roman" w:hAnsi="Times New Roman" w:cs="Times New Roman"/>
          <w:b/>
          <w:bCs/>
        </w:rPr>
        <w:t>Revista Contabilidade e Finanças – USP</w:t>
      </w:r>
      <w:r w:rsidR="00CB1FFC" w:rsidRPr="0041278D">
        <w:rPr>
          <w:rFonts w:ascii="Times New Roman" w:hAnsi="Times New Roman" w:cs="Times New Roman"/>
        </w:rPr>
        <w:t>, São Paulo, vol. 27, num. 71, maio-agosto, 2016, pp. 149-168.</w:t>
      </w:r>
      <w:r w:rsidR="00AE24E0" w:rsidRPr="0041278D">
        <w:rPr>
          <w:rFonts w:ascii="Times New Roman" w:hAnsi="Times New Roman" w:cs="Times New Roman"/>
        </w:rPr>
        <w:t xml:space="preserve"> 2016.</w:t>
      </w:r>
    </w:p>
    <w:p w14:paraId="4E770C98" w14:textId="1461CBFE" w:rsidR="00B26941" w:rsidRPr="0041278D" w:rsidRDefault="00CB1FFC" w:rsidP="0094763A">
      <w:pPr>
        <w:spacing w:after="120"/>
        <w:jc w:val="both"/>
        <w:rPr>
          <w:rFonts w:ascii="Times New Roman" w:hAnsi="Times New Roman" w:cs="Times New Roman"/>
        </w:rPr>
      </w:pPr>
      <w:r w:rsidRPr="0041278D">
        <w:rPr>
          <w:rFonts w:ascii="Times New Roman" w:hAnsi="Times New Roman" w:cs="Times New Roman"/>
        </w:rPr>
        <w:t xml:space="preserve">GUIMARÃES, Guilherme Otávio Monteiro; MACEDO, Marcelo Álvaro da Silva; CRUZ, Cláudia Ferreira da. Análise da alíquota efetiva de tributos sobre o lucro no Brasil&lt; um estudo com foco na </w:t>
      </w:r>
      <w:proofErr w:type="spellStart"/>
      <w:r w:rsidRPr="0041278D">
        <w:rPr>
          <w:rFonts w:ascii="Times New Roman" w:hAnsi="Times New Roman" w:cs="Times New Roman"/>
        </w:rPr>
        <w:t>RTRt</w:t>
      </w:r>
      <w:proofErr w:type="spellEnd"/>
      <w:r w:rsidRPr="0041278D">
        <w:rPr>
          <w:rFonts w:ascii="Times New Roman" w:hAnsi="Times New Roman" w:cs="Times New Roman"/>
        </w:rPr>
        <w:t xml:space="preserve"> e na </w:t>
      </w:r>
      <w:proofErr w:type="spellStart"/>
      <w:r w:rsidRPr="0041278D">
        <w:rPr>
          <w:rFonts w:ascii="Times New Roman" w:hAnsi="Times New Roman" w:cs="Times New Roman"/>
        </w:rPr>
        <w:t>ETRc</w:t>
      </w:r>
      <w:proofErr w:type="spellEnd"/>
      <w:r w:rsidRPr="0041278D">
        <w:rPr>
          <w:rFonts w:ascii="Times New Roman" w:hAnsi="Times New Roman" w:cs="Times New Roman"/>
        </w:rPr>
        <w:t xml:space="preserve">. </w:t>
      </w:r>
      <w:r w:rsidRPr="0041278D">
        <w:rPr>
          <w:rFonts w:ascii="Times New Roman" w:hAnsi="Times New Roman" w:cs="Times New Roman"/>
          <w:b/>
          <w:bCs/>
        </w:rPr>
        <w:t>Enfoque: Reflexão Contábil</w:t>
      </w:r>
      <w:r w:rsidRPr="0041278D">
        <w:rPr>
          <w:rFonts w:ascii="Times New Roman" w:hAnsi="Times New Roman" w:cs="Times New Roman"/>
        </w:rPr>
        <w:t xml:space="preserve">. </w:t>
      </w:r>
      <w:r w:rsidR="000763A2" w:rsidRPr="0041278D">
        <w:rPr>
          <w:rFonts w:ascii="Times New Roman" w:hAnsi="Times New Roman" w:cs="Times New Roman"/>
        </w:rPr>
        <w:t>Maringá, vol. 35, núm. 1, janeiro-abril, 2016, p. 1-16.</w:t>
      </w:r>
      <w:r w:rsidR="00AE24E0" w:rsidRPr="0041278D">
        <w:rPr>
          <w:rFonts w:ascii="Times New Roman" w:hAnsi="Times New Roman" w:cs="Times New Roman"/>
        </w:rPr>
        <w:t xml:space="preserve"> 2016.</w:t>
      </w:r>
    </w:p>
    <w:p w14:paraId="482B05E6" w14:textId="11642121" w:rsidR="009C5197" w:rsidRPr="0041278D" w:rsidRDefault="00324370" w:rsidP="0094763A">
      <w:pPr>
        <w:spacing w:after="120"/>
        <w:jc w:val="both"/>
        <w:rPr>
          <w:rFonts w:ascii="Times New Roman" w:hAnsi="Times New Roman" w:cs="Times New Roman"/>
        </w:rPr>
      </w:pPr>
      <w:r w:rsidRPr="0041278D">
        <w:rPr>
          <w:rFonts w:ascii="Times New Roman" w:hAnsi="Times New Roman" w:cs="Times New Roman"/>
          <w:caps/>
          <w:color w:val="000000"/>
          <w:kern w:val="24"/>
        </w:rPr>
        <w:t>Gupta</w:t>
      </w:r>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S</w:t>
      </w:r>
      <w:r w:rsidR="0054420C" w:rsidRPr="0041278D">
        <w:rPr>
          <w:rFonts w:ascii="Times New Roman" w:hAnsi="Times New Roman" w:cs="Times New Roman"/>
          <w:color w:val="000000"/>
        </w:rPr>
        <w:t>anjay</w:t>
      </w:r>
      <w:proofErr w:type="spellEnd"/>
      <w:r w:rsidRPr="0041278D">
        <w:rPr>
          <w:rFonts w:ascii="Times New Roman" w:hAnsi="Times New Roman" w:cs="Times New Roman"/>
          <w:color w:val="000000"/>
        </w:rPr>
        <w:t xml:space="preserve">, </w:t>
      </w:r>
      <w:r w:rsidRPr="0041278D">
        <w:rPr>
          <w:rFonts w:ascii="Times New Roman" w:hAnsi="Times New Roman" w:cs="Times New Roman"/>
          <w:caps/>
          <w:color w:val="000000"/>
          <w:kern w:val="24"/>
        </w:rPr>
        <w:t>Newberry</w:t>
      </w:r>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K</w:t>
      </w:r>
      <w:r w:rsidR="0054420C" w:rsidRPr="0041278D">
        <w:rPr>
          <w:rFonts w:ascii="Times New Roman" w:hAnsi="Times New Roman" w:cs="Times New Roman"/>
          <w:color w:val="000000"/>
        </w:rPr>
        <w:t>aye</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Determinants</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of</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the</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variability</w:t>
      </w:r>
      <w:proofErr w:type="spellEnd"/>
      <w:r w:rsidRPr="0041278D">
        <w:rPr>
          <w:rFonts w:ascii="Times New Roman" w:hAnsi="Times New Roman" w:cs="Times New Roman"/>
          <w:color w:val="000000"/>
        </w:rPr>
        <w:t xml:space="preserve"> in </w:t>
      </w:r>
      <w:proofErr w:type="spellStart"/>
      <w:r w:rsidRPr="0041278D">
        <w:rPr>
          <w:rFonts w:ascii="Times New Roman" w:hAnsi="Times New Roman" w:cs="Times New Roman"/>
          <w:color w:val="000000"/>
        </w:rPr>
        <w:t>corporate</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effective</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tax</w:t>
      </w:r>
      <w:proofErr w:type="spellEnd"/>
      <w:r w:rsidRPr="0041278D">
        <w:rPr>
          <w:rFonts w:ascii="Times New Roman" w:hAnsi="Times New Roman" w:cs="Times New Roman"/>
          <w:color w:val="000000"/>
        </w:rPr>
        <w:t xml:space="preserve"> rates: </w:t>
      </w:r>
      <w:proofErr w:type="spellStart"/>
      <w:r w:rsidRPr="0041278D">
        <w:rPr>
          <w:rFonts w:ascii="Times New Roman" w:hAnsi="Times New Roman" w:cs="Times New Roman"/>
          <w:color w:val="000000"/>
        </w:rPr>
        <w:t>evidence</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from</w:t>
      </w:r>
      <w:proofErr w:type="spellEnd"/>
      <w:r w:rsidRPr="0041278D">
        <w:rPr>
          <w:rFonts w:ascii="Times New Roman" w:hAnsi="Times New Roman" w:cs="Times New Roman"/>
          <w:color w:val="000000"/>
        </w:rPr>
        <w:t xml:space="preserve"> longitudinal </w:t>
      </w:r>
      <w:proofErr w:type="spellStart"/>
      <w:r w:rsidRPr="0041278D">
        <w:rPr>
          <w:rFonts w:ascii="Times New Roman" w:hAnsi="Times New Roman" w:cs="Times New Roman"/>
          <w:color w:val="000000"/>
        </w:rPr>
        <w:t>study</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b/>
          <w:bCs/>
          <w:color w:val="000000"/>
        </w:rPr>
        <w:t>Journal</w:t>
      </w:r>
      <w:proofErr w:type="spellEnd"/>
      <w:r w:rsidRPr="0041278D">
        <w:rPr>
          <w:rFonts w:ascii="Times New Roman" w:hAnsi="Times New Roman" w:cs="Times New Roman"/>
          <w:b/>
          <w:bCs/>
          <w:color w:val="000000"/>
        </w:rPr>
        <w:t xml:space="preserve"> </w:t>
      </w:r>
      <w:proofErr w:type="spellStart"/>
      <w:r w:rsidRPr="0041278D">
        <w:rPr>
          <w:rFonts w:ascii="Times New Roman" w:hAnsi="Times New Roman" w:cs="Times New Roman"/>
          <w:b/>
          <w:bCs/>
          <w:color w:val="000000"/>
        </w:rPr>
        <w:t>of</w:t>
      </w:r>
      <w:proofErr w:type="spellEnd"/>
      <w:r w:rsidRPr="0041278D">
        <w:rPr>
          <w:rFonts w:ascii="Times New Roman" w:hAnsi="Times New Roman" w:cs="Times New Roman"/>
          <w:b/>
          <w:bCs/>
          <w:color w:val="000000"/>
        </w:rPr>
        <w:t xml:space="preserve"> </w:t>
      </w:r>
      <w:proofErr w:type="spellStart"/>
      <w:r w:rsidRPr="0041278D">
        <w:rPr>
          <w:rFonts w:ascii="Times New Roman" w:hAnsi="Times New Roman" w:cs="Times New Roman"/>
          <w:b/>
          <w:bCs/>
          <w:color w:val="000000"/>
        </w:rPr>
        <w:t>Accounting</w:t>
      </w:r>
      <w:proofErr w:type="spellEnd"/>
      <w:r w:rsidRPr="0041278D">
        <w:rPr>
          <w:rFonts w:ascii="Times New Roman" w:hAnsi="Times New Roman" w:cs="Times New Roman"/>
          <w:b/>
          <w:bCs/>
          <w:color w:val="000000"/>
        </w:rPr>
        <w:t xml:space="preserve"> </w:t>
      </w:r>
      <w:proofErr w:type="spellStart"/>
      <w:r w:rsidRPr="0041278D">
        <w:rPr>
          <w:rFonts w:ascii="Times New Roman" w:hAnsi="Times New Roman" w:cs="Times New Roman"/>
          <w:b/>
          <w:bCs/>
          <w:color w:val="000000"/>
        </w:rPr>
        <w:t>and</w:t>
      </w:r>
      <w:proofErr w:type="spellEnd"/>
      <w:r w:rsidRPr="0041278D">
        <w:rPr>
          <w:rFonts w:ascii="Times New Roman" w:hAnsi="Times New Roman" w:cs="Times New Roman"/>
          <w:b/>
          <w:bCs/>
          <w:color w:val="000000"/>
        </w:rPr>
        <w:t xml:space="preserve"> </w:t>
      </w:r>
      <w:proofErr w:type="spellStart"/>
      <w:r w:rsidRPr="0041278D">
        <w:rPr>
          <w:rFonts w:ascii="Times New Roman" w:hAnsi="Times New Roman" w:cs="Times New Roman"/>
          <w:b/>
          <w:bCs/>
          <w:color w:val="000000"/>
        </w:rPr>
        <w:t>Public</w:t>
      </w:r>
      <w:proofErr w:type="spellEnd"/>
      <w:r w:rsidRPr="0041278D">
        <w:rPr>
          <w:rFonts w:ascii="Times New Roman" w:hAnsi="Times New Roman" w:cs="Times New Roman"/>
          <w:b/>
          <w:bCs/>
          <w:color w:val="000000"/>
        </w:rPr>
        <w:t xml:space="preserve"> </w:t>
      </w:r>
      <w:proofErr w:type="spellStart"/>
      <w:r w:rsidRPr="0041278D">
        <w:rPr>
          <w:rFonts w:ascii="Times New Roman" w:hAnsi="Times New Roman" w:cs="Times New Roman"/>
          <w:b/>
          <w:bCs/>
          <w:color w:val="000000"/>
        </w:rPr>
        <w:t>Policy</w:t>
      </w:r>
      <w:proofErr w:type="spellEnd"/>
      <w:r w:rsidRPr="0041278D">
        <w:rPr>
          <w:rFonts w:ascii="Times New Roman" w:hAnsi="Times New Roman" w:cs="Times New Roman"/>
          <w:color w:val="000000"/>
        </w:rPr>
        <w:t>. [</w:t>
      </w:r>
      <w:proofErr w:type="spellStart"/>
      <w:r w:rsidRPr="0041278D">
        <w:rPr>
          <w:rFonts w:ascii="Times New Roman" w:hAnsi="Times New Roman" w:cs="Times New Roman"/>
          <w:color w:val="000000"/>
        </w:rPr>
        <w:t>S.l</w:t>
      </w:r>
      <w:proofErr w:type="spellEnd"/>
      <w:r w:rsidRPr="0041278D">
        <w:rPr>
          <w:rFonts w:ascii="Times New Roman" w:hAnsi="Times New Roman" w:cs="Times New Roman"/>
          <w:color w:val="000000"/>
        </w:rPr>
        <w:t>.], p. 1-34, 1997.</w:t>
      </w:r>
    </w:p>
    <w:p w14:paraId="2A0F1FC0" w14:textId="3EF7DF50" w:rsidR="000763A2" w:rsidRPr="00F83A22" w:rsidRDefault="000763A2" w:rsidP="0094763A">
      <w:pPr>
        <w:spacing w:after="120"/>
        <w:jc w:val="both"/>
        <w:rPr>
          <w:rFonts w:ascii="Times New Roman" w:hAnsi="Times New Roman" w:cs="Times New Roman"/>
        </w:rPr>
      </w:pPr>
      <w:r w:rsidRPr="0041278D">
        <w:rPr>
          <w:rFonts w:ascii="Times New Roman" w:hAnsi="Times New Roman" w:cs="Times New Roman"/>
          <w:lang w:val="es-419"/>
        </w:rPr>
        <w:t>HARTMANN, Carla Furtado; MARTI</w:t>
      </w:r>
      <w:r w:rsidR="0079408D" w:rsidRPr="0041278D">
        <w:rPr>
          <w:rFonts w:ascii="Times New Roman" w:hAnsi="Times New Roman" w:cs="Times New Roman"/>
          <w:lang w:val="es-419"/>
        </w:rPr>
        <w:t>N</w:t>
      </w:r>
      <w:r w:rsidRPr="0041278D">
        <w:rPr>
          <w:rFonts w:ascii="Times New Roman" w:hAnsi="Times New Roman" w:cs="Times New Roman"/>
          <w:lang w:val="es-419"/>
        </w:rPr>
        <w:t xml:space="preserve">EZ, Antonio Lopo. </w:t>
      </w:r>
      <w:r w:rsidRPr="00F83A22">
        <w:rPr>
          <w:rFonts w:ascii="Times New Roman" w:hAnsi="Times New Roman" w:cs="Times New Roman"/>
        </w:rPr>
        <w:t xml:space="preserve">Agressividade fiscal e as empresas de auditoria Big4. </w:t>
      </w:r>
      <w:r w:rsidRPr="00F83A22">
        <w:rPr>
          <w:rFonts w:ascii="Times New Roman" w:hAnsi="Times New Roman" w:cs="Times New Roman"/>
          <w:b/>
          <w:bCs/>
        </w:rPr>
        <w:t>REUNIR: Revista de Administração, Ci</w:t>
      </w:r>
      <w:r w:rsidR="00626C96" w:rsidRPr="00F83A22">
        <w:rPr>
          <w:rFonts w:ascii="Times New Roman" w:hAnsi="Times New Roman" w:cs="Times New Roman"/>
          <w:b/>
          <w:bCs/>
        </w:rPr>
        <w:t>ê</w:t>
      </w:r>
      <w:r w:rsidRPr="00F83A22">
        <w:rPr>
          <w:rFonts w:ascii="Times New Roman" w:hAnsi="Times New Roman" w:cs="Times New Roman"/>
          <w:b/>
          <w:bCs/>
        </w:rPr>
        <w:t>ncias Con</w:t>
      </w:r>
      <w:r w:rsidR="00626C96" w:rsidRPr="00F83A22">
        <w:rPr>
          <w:rFonts w:ascii="Times New Roman" w:hAnsi="Times New Roman" w:cs="Times New Roman"/>
          <w:b/>
          <w:bCs/>
        </w:rPr>
        <w:t>tá</w:t>
      </w:r>
      <w:r w:rsidRPr="00F83A22">
        <w:rPr>
          <w:rFonts w:ascii="Times New Roman" w:hAnsi="Times New Roman" w:cs="Times New Roman"/>
          <w:b/>
          <w:bCs/>
        </w:rPr>
        <w:t>beis e Sustentabilidade</w:t>
      </w:r>
      <w:r w:rsidRPr="00F83A22">
        <w:rPr>
          <w:rFonts w:ascii="Times New Roman" w:hAnsi="Times New Roman" w:cs="Times New Roman"/>
        </w:rPr>
        <w:t>.</w:t>
      </w:r>
      <w:r w:rsidR="00B10C8A" w:rsidRPr="00F83A22">
        <w:rPr>
          <w:rFonts w:ascii="Times New Roman" w:hAnsi="Times New Roman" w:cs="Times New Roman"/>
        </w:rPr>
        <w:t xml:space="preserve"> [S.I], vol. 10, n. 3, 2020, p. 37-46.</w:t>
      </w:r>
      <w:r w:rsidR="00AE24E0" w:rsidRPr="00F83A22">
        <w:rPr>
          <w:rFonts w:ascii="Times New Roman" w:hAnsi="Times New Roman" w:cs="Times New Roman"/>
        </w:rPr>
        <w:t xml:space="preserve"> 2020.</w:t>
      </w:r>
    </w:p>
    <w:p w14:paraId="76C1367B" w14:textId="279429E8" w:rsidR="00073A36" w:rsidRPr="0041278D" w:rsidRDefault="00073A36" w:rsidP="0094763A">
      <w:pPr>
        <w:spacing w:after="120"/>
        <w:jc w:val="both"/>
        <w:rPr>
          <w:rFonts w:ascii="Times New Roman" w:hAnsi="Times New Roman" w:cs="Times New Roman"/>
        </w:rPr>
      </w:pPr>
      <w:r w:rsidRPr="00F83A22">
        <w:rPr>
          <w:rFonts w:ascii="Times New Roman" w:hAnsi="Times New Roman" w:cs="Times New Roman"/>
          <w:caps/>
          <w:kern w:val="24"/>
        </w:rPr>
        <w:t>Hendriksen</w:t>
      </w:r>
      <w:r w:rsidRPr="00F83A22">
        <w:rPr>
          <w:rFonts w:ascii="Times New Roman" w:hAnsi="Times New Roman" w:cs="Times New Roman"/>
        </w:rPr>
        <w:t xml:space="preserve">, </w:t>
      </w:r>
      <w:proofErr w:type="spellStart"/>
      <w:r w:rsidRPr="00F83A22">
        <w:rPr>
          <w:rFonts w:ascii="Times New Roman" w:hAnsi="Times New Roman" w:cs="Times New Roman"/>
        </w:rPr>
        <w:t>E</w:t>
      </w:r>
      <w:r w:rsidR="00626C96" w:rsidRPr="00F83A22">
        <w:rPr>
          <w:rFonts w:ascii="Times New Roman" w:hAnsi="Times New Roman" w:cs="Times New Roman"/>
        </w:rPr>
        <w:t>ldon</w:t>
      </w:r>
      <w:proofErr w:type="spellEnd"/>
      <w:r w:rsidRPr="00F83A22">
        <w:rPr>
          <w:rFonts w:ascii="Times New Roman" w:hAnsi="Times New Roman" w:cs="Times New Roman"/>
        </w:rPr>
        <w:t xml:space="preserve"> S.</w:t>
      </w:r>
      <w:r w:rsidR="00626C96" w:rsidRPr="00F83A22">
        <w:rPr>
          <w:rFonts w:ascii="Times New Roman" w:hAnsi="Times New Roman" w:cs="Times New Roman"/>
        </w:rPr>
        <w:t>;</w:t>
      </w:r>
      <w:r w:rsidRPr="00F83A22">
        <w:rPr>
          <w:rFonts w:ascii="Times New Roman" w:hAnsi="Times New Roman" w:cs="Times New Roman"/>
        </w:rPr>
        <w:t xml:space="preserve"> </w:t>
      </w:r>
      <w:r w:rsidRPr="00F83A22">
        <w:rPr>
          <w:rFonts w:ascii="Times New Roman" w:hAnsi="Times New Roman" w:cs="Times New Roman"/>
          <w:caps/>
          <w:kern w:val="24"/>
        </w:rPr>
        <w:t>Breda</w:t>
      </w:r>
      <w:r w:rsidRPr="00F83A22">
        <w:rPr>
          <w:rFonts w:ascii="Times New Roman" w:hAnsi="Times New Roman" w:cs="Times New Roman"/>
        </w:rPr>
        <w:t xml:space="preserve"> M</w:t>
      </w:r>
      <w:r w:rsidR="00626C96" w:rsidRPr="00F83A22">
        <w:rPr>
          <w:rFonts w:ascii="Times New Roman" w:hAnsi="Times New Roman" w:cs="Times New Roman"/>
        </w:rPr>
        <w:t>ichael</w:t>
      </w:r>
      <w:r w:rsidRPr="00F83A22">
        <w:rPr>
          <w:rFonts w:ascii="Times New Roman" w:hAnsi="Times New Roman" w:cs="Times New Roman"/>
        </w:rPr>
        <w:t xml:space="preserve"> F. V. </w:t>
      </w:r>
      <w:r w:rsidRPr="0041278D">
        <w:rPr>
          <w:rFonts w:ascii="Times New Roman" w:hAnsi="Times New Roman" w:cs="Times New Roman"/>
          <w:b/>
          <w:bCs/>
        </w:rPr>
        <w:t>Teoria da Contabilidade</w:t>
      </w:r>
      <w:r w:rsidRPr="0041278D">
        <w:rPr>
          <w:rFonts w:ascii="Times New Roman" w:hAnsi="Times New Roman" w:cs="Times New Roman"/>
        </w:rPr>
        <w:t xml:space="preserve">. </w:t>
      </w:r>
      <w:r w:rsidR="00626C96" w:rsidRPr="0041278D">
        <w:rPr>
          <w:rFonts w:ascii="Times New Roman" w:hAnsi="Times New Roman" w:cs="Times New Roman"/>
        </w:rPr>
        <w:t>São Paulo: Atlas, 2010</w:t>
      </w:r>
      <w:r w:rsidRPr="0041278D">
        <w:rPr>
          <w:rFonts w:ascii="Times New Roman" w:hAnsi="Times New Roman" w:cs="Times New Roman"/>
        </w:rPr>
        <w:t>.</w:t>
      </w:r>
    </w:p>
    <w:p w14:paraId="5359A9EA" w14:textId="64AB5CBC" w:rsidR="00324370" w:rsidRPr="0041278D" w:rsidRDefault="00324370" w:rsidP="0094763A">
      <w:pPr>
        <w:spacing w:after="120"/>
        <w:jc w:val="both"/>
        <w:rPr>
          <w:rFonts w:ascii="Times New Roman" w:hAnsi="Times New Roman" w:cs="Times New Roman"/>
        </w:rPr>
      </w:pPr>
      <w:r w:rsidRPr="0041278D">
        <w:rPr>
          <w:rFonts w:ascii="Times New Roman" w:hAnsi="Times New Roman" w:cs="Times New Roman"/>
          <w:caps/>
          <w:color w:val="000000"/>
          <w:kern w:val="24"/>
        </w:rPr>
        <w:t>Janssen</w:t>
      </w:r>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B</w:t>
      </w:r>
      <w:r w:rsidR="00596922" w:rsidRPr="0041278D">
        <w:rPr>
          <w:rFonts w:ascii="Times New Roman" w:hAnsi="Times New Roman" w:cs="Times New Roman"/>
          <w:color w:val="000000"/>
        </w:rPr>
        <w:t>oudew</w:t>
      </w:r>
      <w:r w:rsidR="00EC2B00" w:rsidRPr="0041278D">
        <w:rPr>
          <w:rFonts w:ascii="Times New Roman" w:hAnsi="Times New Roman" w:cs="Times New Roman"/>
          <w:color w:val="000000"/>
        </w:rPr>
        <w:t>i</w:t>
      </w:r>
      <w:r w:rsidR="00596922" w:rsidRPr="0041278D">
        <w:rPr>
          <w:rFonts w:ascii="Times New Roman" w:hAnsi="Times New Roman" w:cs="Times New Roman"/>
          <w:color w:val="000000"/>
        </w:rPr>
        <w:t>jn</w:t>
      </w:r>
      <w:proofErr w:type="spellEnd"/>
      <w:r w:rsidRPr="0041278D">
        <w:rPr>
          <w:rFonts w:ascii="Times New Roman" w:hAnsi="Times New Roman" w:cs="Times New Roman"/>
          <w:color w:val="000000"/>
        </w:rPr>
        <w:t xml:space="preserve">. (2000). </w:t>
      </w:r>
      <w:proofErr w:type="spellStart"/>
      <w:r w:rsidRPr="0041278D">
        <w:rPr>
          <w:rFonts w:ascii="Times New Roman" w:hAnsi="Times New Roman" w:cs="Times New Roman"/>
          <w:color w:val="000000"/>
        </w:rPr>
        <w:t>Effective</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tax</w:t>
      </w:r>
      <w:proofErr w:type="spellEnd"/>
      <w:r w:rsidRPr="0041278D">
        <w:rPr>
          <w:rFonts w:ascii="Times New Roman" w:hAnsi="Times New Roman" w:cs="Times New Roman"/>
          <w:color w:val="000000"/>
        </w:rPr>
        <w:t xml:space="preserve"> rate (ETR) </w:t>
      </w:r>
      <w:proofErr w:type="spellStart"/>
      <w:r w:rsidRPr="0041278D">
        <w:rPr>
          <w:rFonts w:ascii="Times New Roman" w:hAnsi="Times New Roman" w:cs="Times New Roman"/>
          <w:color w:val="000000"/>
        </w:rPr>
        <w:t>measures</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alternatives</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and</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their</w:t>
      </w:r>
      <w:proofErr w:type="spellEnd"/>
      <w:r w:rsidRPr="0041278D">
        <w:rPr>
          <w:rFonts w:ascii="Times New Roman" w:hAnsi="Times New Roman" w:cs="Times New Roman"/>
          <w:color w:val="000000"/>
        </w:rPr>
        <w:t xml:space="preserve"> </w:t>
      </w:r>
      <w:proofErr w:type="spellStart"/>
      <w:r w:rsidRPr="0041278D">
        <w:rPr>
          <w:rFonts w:ascii="Times New Roman" w:hAnsi="Times New Roman" w:cs="Times New Roman"/>
          <w:color w:val="000000"/>
        </w:rPr>
        <w:t>validity</w:t>
      </w:r>
      <w:proofErr w:type="spellEnd"/>
      <w:r w:rsidRPr="0041278D">
        <w:rPr>
          <w:rFonts w:ascii="Times New Roman" w:hAnsi="Times New Roman" w:cs="Times New Roman"/>
          <w:color w:val="000000"/>
        </w:rPr>
        <w:t xml:space="preserve">. </w:t>
      </w:r>
      <w:r w:rsidRPr="0041278D">
        <w:rPr>
          <w:rFonts w:ascii="Times New Roman" w:hAnsi="Times New Roman" w:cs="Times New Roman"/>
          <w:b/>
          <w:bCs/>
          <w:color w:val="000000"/>
        </w:rPr>
        <w:t xml:space="preserve">MARC </w:t>
      </w:r>
      <w:proofErr w:type="spellStart"/>
      <w:r w:rsidRPr="0041278D">
        <w:rPr>
          <w:rFonts w:ascii="Times New Roman" w:hAnsi="Times New Roman" w:cs="Times New Roman"/>
          <w:b/>
          <w:bCs/>
          <w:color w:val="000000"/>
        </w:rPr>
        <w:t>Working</w:t>
      </w:r>
      <w:proofErr w:type="spellEnd"/>
      <w:r w:rsidRPr="0041278D">
        <w:rPr>
          <w:rFonts w:ascii="Times New Roman" w:hAnsi="Times New Roman" w:cs="Times New Roman"/>
          <w:b/>
          <w:bCs/>
          <w:color w:val="000000"/>
        </w:rPr>
        <w:t xml:space="preserve"> </w:t>
      </w:r>
      <w:proofErr w:type="spellStart"/>
      <w:r w:rsidRPr="0041278D">
        <w:rPr>
          <w:rFonts w:ascii="Times New Roman" w:hAnsi="Times New Roman" w:cs="Times New Roman"/>
          <w:b/>
          <w:bCs/>
          <w:color w:val="000000"/>
        </w:rPr>
        <w:t>Paper</w:t>
      </w:r>
      <w:r w:rsidR="00626C96" w:rsidRPr="0041278D">
        <w:rPr>
          <w:rFonts w:ascii="Times New Roman" w:hAnsi="Times New Roman" w:cs="Times New Roman"/>
          <w:b/>
          <w:bCs/>
          <w:color w:val="000000"/>
        </w:rPr>
        <w:t>s</w:t>
      </w:r>
      <w:proofErr w:type="spellEnd"/>
      <w:r w:rsidR="00626C96" w:rsidRPr="0041278D">
        <w:rPr>
          <w:rFonts w:ascii="Times New Roman" w:hAnsi="Times New Roman" w:cs="Times New Roman"/>
          <w:color w:val="000000"/>
        </w:rPr>
        <w:t>, 2000</w:t>
      </w:r>
      <w:r w:rsidRPr="0041278D">
        <w:rPr>
          <w:rFonts w:ascii="Times New Roman" w:hAnsi="Times New Roman" w:cs="Times New Roman"/>
          <w:color w:val="000000"/>
        </w:rPr>
        <w:t>.</w:t>
      </w:r>
    </w:p>
    <w:p w14:paraId="74997D73" w14:textId="01E8457D" w:rsidR="005202B8" w:rsidRPr="0041278D" w:rsidRDefault="005202B8" w:rsidP="0094763A">
      <w:pPr>
        <w:spacing w:after="120"/>
        <w:jc w:val="both"/>
        <w:rPr>
          <w:rFonts w:ascii="Times New Roman" w:hAnsi="Times New Roman" w:cs="Times New Roman"/>
          <w:kern w:val="24"/>
        </w:rPr>
      </w:pPr>
      <w:r w:rsidRPr="0041278D">
        <w:rPr>
          <w:rFonts w:ascii="Times New Roman" w:hAnsi="Times New Roman" w:cs="Times New Roman"/>
          <w:caps/>
          <w:kern w:val="24"/>
        </w:rPr>
        <w:lastRenderedPageBreak/>
        <w:t>LOPes, t</w:t>
      </w:r>
      <w:r w:rsidRPr="0041278D">
        <w:rPr>
          <w:rFonts w:ascii="Times New Roman" w:hAnsi="Times New Roman" w:cs="Times New Roman"/>
          <w:kern w:val="24"/>
        </w:rPr>
        <w:t xml:space="preserve">atiana. </w:t>
      </w:r>
      <w:r w:rsidRPr="0041278D">
        <w:rPr>
          <w:rFonts w:ascii="Times New Roman" w:hAnsi="Times New Roman" w:cs="Times New Roman"/>
          <w:b/>
          <w:bCs/>
          <w:kern w:val="24"/>
        </w:rPr>
        <w:t>Custos Políticos Tributários</w:t>
      </w:r>
      <w:r w:rsidR="0074682B" w:rsidRPr="0041278D">
        <w:rPr>
          <w:rFonts w:ascii="Times New Roman" w:hAnsi="Times New Roman" w:cs="Times New Roman"/>
          <w:b/>
          <w:bCs/>
          <w:kern w:val="24"/>
        </w:rPr>
        <w:t>: O Impacto de Tamanho na Alíquota Tributária Efetiva</w:t>
      </w:r>
      <w:r w:rsidR="0074682B" w:rsidRPr="0041278D">
        <w:rPr>
          <w:rFonts w:ascii="Times New Roman" w:hAnsi="Times New Roman" w:cs="Times New Roman"/>
          <w:kern w:val="24"/>
        </w:rPr>
        <w:t>.</w:t>
      </w:r>
      <w:r w:rsidR="00596922" w:rsidRPr="0041278D">
        <w:rPr>
          <w:rFonts w:ascii="Times New Roman" w:hAnsi="Times New Roman" w:cs="Times New Roman"/>
          <w:kern w:val="24"/>
        </w:rPr>
        <w:t xml:space="preserve"> </w:t>
      </w:r>
      <w:r w:rsidR="0074682B" w:rsidRPr="0041278D">
        <w:rPr>
          <w:rFonts w:ascii="Times New Roman" w:hAnsi="Times New Roman" w:cs="Times New Roman"/>
          <w:kern w:val="24"/>
        </w:rPr>
        <w:t>Doutorado em Ciências Contábeis. Universidade de São Paulo</w:t>
      </w:r>
      <w:r w:rsidR="00596922" w:rsidRPr="0041278D">
        <w:rPr>
          <w:rFonts w:ascii="Times New Roman" w:hAnsi="Times New Roman" w:cs="Times New Roman"/>
          <w:kern w:val="24"/>
        </w:rPr>
        <w:t>.</w:t>
      </w:r>
      <w:r w:rsidR="0074682B" w:rsidRPr="0041278D">
        <w:rPr>
          <w:rFonts w:ascii="Times New Roman" w:hAnsi="Times New Roman" w:cs="Times New Roman"/>
          <w:kern w:val="24"/>
        </w:rPr>
        <w:t xml:space="preserve"> São Paulo, 2012. </w:t>
      </w:r>
    </w:p>
    <w:p w14:paraId="27114FAC" w14:textId="0B0D5E1E" w:rsidR="00A77CA8" w:rsidRPr="0041278D" w:rsidRDefault="00A77CA8" w:rsidP="0094763A">
      <w:pPr>
        <w:spacing w:after="120"/>
        <w:jc w:val="both"/>
        <w:rPr>
          <w:rFonts w:ascii="Times New Roman" w:hAnsi="Times New Roman" w:cs="Times New Roman"/>
        </w:rPr>
      </w:pPr>
      <w:r w:rsidRPr="0041278D">
        <w:rPr>
          <w:rFonts w:ascii="Times New Roman" w:hAnsi="Times New Roman" w:cs="Times New Roman"/>
          <w:caps/>
          <w:kern w:val="24"/>
        </w:rPr>
        <w:t>Marconi</w:t>
      </w:r>
      <w:r w:rsidRPr="0041278D">
        <w:rPr>
          <w:rFonts w:ascii="Times New Roman" w:hAnsi="Times New Roman" w:cs="Times New Roman"/>
        </w:rPr>
        <w:t>, M</w:t>
      </w:r>
      <w:r w:rsidR="004C0177" w:rsidRPr="0041278D">
        <w:rPr>
          <w:rFonts w:ascii="Times New Roman" w:hAnsi="Times New Roman" w:cs="Times New Roman"/>
        </w:rPr>
        <w:t>arina de</w:t>
      </w:r>
      <w:r w:rsidRPr="0041278D">
        <w:rPr>
          <w:rFonts w:ascii="Times New Roman" w:hAnsi="Times New Roman" w:cs="Times New Roman"/>
        </w:rPr>
        <w:t xml:space="preserve"> A</w:t>
      </w:r>
      <w:r w:rsidR="004C0177" w:rsidRPr="0041278D">
        <w:rPr>
          <w:rFonts w:ascii="Times New Roman" w:hAnsi="Times New Roman" w:cs="Times New Roman"/>
        </w:rPr>
        <w:t>ndrade;</w:t>
      </w:r>
      <w:r w:rsidRPr="0041278D">
        <w:rPr>
          <w:rFonts w:ascii="Times New Roman" w:hAnsi="Times New Roman" w:cs="Times New Roman"/>
        </w:rPr>
        <w:t xml:space="preserve"> </w:t>
      </w:r>
      <w:r w:rsidRPr="0041278D">
        <w:rPr>
          <w:rFonts w:ascii="Times New Roman" w:hAnsi="Times New Roman" w:cs="Times New Roman"/>
          <w:caps/>
          <w:kern w:val="24"/>
        </w:rPr>
        <w:t>Lakatos</w:t>
      </w:r>
      <w:r w:rsidRPr="0041278D">
        <w:rPr>
          <w:rFonts w:ascii="Times New Roman" w:hAnsi="Times New Roman" w:cs="Times New Roman"/>
        </w:rPr>
        <w:t>, E</w:t>
      </w:r>
      <w:r w:rsidR="004C0177" w:rsidRPr="0041278D">
        <w:rPr>
          <w:rFonts w:ascii="Times New Roman" w:hAnsi="Times New Roman" w:cs="Times New Roman"/>
        </w:rPr>
        <w:t>va</w:t>
      </w:r>
      <w:r w:rsidRPr="0041278D">
        <w:rPr>
          <w:rFonts w:ascii="Times New Roman" w:hAnsi="Times New Roman" w:cs="Times New Roman"/>
        </w:rPr>
        <w:t xml:space="preserve"> </w:t>
      </w:r>
      <w:r w:rsidR="004C0177" w:rsidRPr="0041278D">
        <w:rPr>
          <w:rFonts w:ascii="Times New Roman" w:hAnsi="Times New Roman" w:cs="Times New Roman"/>
        </w:rPr>
        <w:t>Maria</w:t>
      </w:r>
      <w:r w:rsidRPr="0041278D">
        <w:rPr>
          <w:rFonts w:ascii="Times New Roman" w:hAnsi="Times New Roman" w:cs="Times New Roman"/>
        </w:rPr>
        <w:t xml:space="preserve">. </w:t>
      </w:r>
      <w:r w:rsidRPr="0041278D">
        <w:rPr>
          <w:rFonts w:ascii="Times New Roman" w:hAnsi="Times New Roman" w:cs="Times New Roman"/>
          <w:b/>
          <w:bCs/>
        </w:rPr>
        <w:t>Metodologia Científica</w:t>
      </w:r>
      <w:r w:rsidRPr="0041278D">
        <w:rPr>
          <w:rFonts w:ascii="Times New Roman" w:hAnsi="Times New Roman" w:cs="Times New Roman"/>
        </w:rPr>
        <w:t xml:space="preserve">. </w:t>
      </w:r>
      <w:r w:rsidR="004C0177" w:rsidRPr="0041278D">
        <w:rPr>
          <w:rFonts w:ascii="Times New Roman" w:hAnsi="Times New Roman" w:cs="Times New Roman"/>
        </w:rPr>
        <w:t xml:space="preserve">7 ed. </w:t>
      </w:r>
      <w:r w:rsidR="00C0597D" w:rsidRPr="0041278D">
        <w:rPr>
          <w:rFonts w:ascii="Times New Roman" w:hAnsi="Times New Roman" w:cs="Times New Roman"/>
        </w:rPr>
        <w:t>São Paulo</w:t>
      </w:r>
      <w:r w:rsidR="004C0177" w:rsidRPr="0041278D">
        <w:rPr>
          <w:rFonts w:ascii="Times New Roman" w:hAnsi="Times New Roman" w:cs="Times New Roman"/>
        </w:rPr>
        <w:t>: Atlas, 2017</w:t>
      </w:r>
      <w:r w:rsidRPr="0041278D">
        <w:rPr>
          <w:rFonts w:ascii="Times New Roman" w:hAnsi="Times New Roman" w:cs="Times New Roman"/>
        </w:rPr>
        <w:t>.</w:t>
      </w:r>
    </w:p>
    <w:p w14:paraId="3DCC6805" w14:textId="2C6BC3E2" w:rsidR="00923514" w:rsidRPr="0041278D" w:rsidRDefault="005621C4" w:rsidP="0094763A">
      <w:pPr>
        <w:spacing w:after="120"/>
        <w:jc w:val="both"/>
        <w:rPr>
          <w:rFonts w:ascii="Times New Roman" w:hAnsi="Times New Roman" w:cs="Times New Roman"/>
        </w:rPr>
      </w:pPr>
      <w:r w:rsidRPr="0041278D">
        <w:rPr>
          <w:rFonts w:ascii="Times New Roman" w:hAnsi="Times New Roman" w:cs="Times New Roman"/>
          <w:kern w:val="0"/>
          <w:lang w:eastAsia="pt-BR" w:bidi="ar-SA"/>
        </w:rPr>
        <w:t>MARTINEZ, Ant</w:t>
      </w:r>
      <w:r w:rsidR="00923514" w:rsidRPr="0041278D">
        <w:rPr>
          <w:rFonts w:ascii="Times New Roman" w:hAnsi="Times New Roman" w:cs="Times New Roman"/>
          <w:kern w:val="0"/>
          <w:lang w:eastAsia="pt-BR" w:bidi="ar-SA"/>
        </w:rPr>
        <w:t>ô</w:t>
      </w:r>
      <w:r w:rsidRPr="0041278D">
        <w:rPr>
          <w:rFonts w:ascii="Times New Roman" w:hAnsi="Times New Roman" w:cs="Times New Roman"/>
          <w:kern w:val="0"/>
          <w:lang w:eastAsia="pt-BR" w:bidi="ar-SA"/>
        </w:rPr>
        <w:t xml:space="preserve">nio </w:t>
      </w:r>
      <w:proofErr w:type="spellStart"/>
      <w:r w:rsidRPr="0041278D">
        <w:rPr>
          <w:rFonts w:ascii="Times New Roman" w:hAnsi="Times New Roman" w:cs="Times New Roman"/>
          <w:kern w:val="0"/>
          <w:lang w:eastAsia="pt-BR" w:bidi="ar-SA"/>
        </w:rPr>
        <w:t>Lopo</w:t>
      </w:r>
      <w:proofErr w:type="spellEnd"/>
      <w:r w:rsidRPr="0041278D">
        <w:rPr>
          <w:rFonts w:ascii="Times New Roman" w:hAnsi="Times New Roman" w:cs="Times New Roman"/>
          <w:kern w:val="0"/>
          <w:lang w:eastAsia="pt-BR" w:bidi="ar-SA"/>
        </w:rPr>
        <w:t xml:space="preserve">; MOTTA, Fábio Pereira. </w:t>
      </w:r>
      <w:proofErr w:type="spellStart"/>
      <w:r w:rsidRPr="0041278D">
        <w:rPr>
          <w:rFonts w:ascii="Times New Roman" w:hAnsi="Times New Roman" w:cs="Times New Roman"/>
          <w:kern w:val="0"/>
          <w:lang w:eastAsia="pt-BR" w:bidi="ar-SA"/>
        </w:rPr>
        <w:t>Tax</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agressiveness</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of</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government-controlled</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corporations</w:t>
      </w:r>
      <w:proofErr w:type="spellEnd"/>
      <w:r w:rsidRPr="0041278D">
        <w:rPr>
          <w:rFonts w:ascii="Times New Roman" w:hAnsi="Times New Roman" w:cs="Times New Roman"/>
          <w:kern w:val="0"/>
          <w:lang w:eastAsia="pt-BR" w:bidi="ar-SA"/>
        </w:rPr>
        <w:t xml:space="preserve"> in </w:t>
      </w:r>
      <w:proofErr w:type="spellStart"/>
      <w:r w:rsidRPr="0041278D">
        <w:rPr>
          <w:rFonts w:ascii="Times New Roman" w:hAnsi="Times New Roman" w:cs="Times New Roman"/>
          <w:kern w:val="0"/>
          <w:lang w:eastAsia="pt-BR" w:bidi="ar-SA"/>
        </w:rPr>
        <w:t>Brazil</w:t>
      </w:r>
      <w:proofErr w:type="spellEnd"/>
      <w:r w:rsidRPr="0041278D">
        <w:rPr>
          <w:rFonts w:ascii="Times New Roman" w:hAnsi="Times New Roman" w:cs="Times New Roman"/>
          <w:kern w:val="0"/>
          <w:lang w:eastAsia="pt-BR" w:bidi="ar-SA"/>
        </w:rPr>
        <w:t xml:space="preserve">. </w:t>
      </w:r>
      <w:r w:rsidRPr="0041278D">
        <w:rPr>
          <w:rFonts w:ascii="Times New Roman" w:hAnsi="Times New Roman" w:cs="Times New Roman"/>
          <w:b/>
          <w:bCs/>
        </w:rPr>
        <w:t>Revista Contemporânea de Contabilidade</w:t>
      </w:r>
      <w:r w:rsidRPr="0041278D">
        <w:rPr>
          <w:rFonts w:ascii="Times New Roman" w:hAnsi="Times New Roman" w:cs="Times New Roman"/>
        </w:rPr>
        <w:t>. Florianópolis, vol. 17, núm. 43, abril-junho, 2020, p. 136-148.</w:t>
      </w:r>
      <w:r w:rsidR="00AE24E0" w:rsidRPr="0041278D">
        <w:rPr>
          <w:rFonts w:ascii="Times New Roman" w:hAnsi="Times New Roman" w:cs="Times New Roman"/>
        </w:rPr>
        <w:t xml:space="preserve"> 2020.</w:t>
      </w:r>
    </w:p>
    <w:p w14:paraId="7470697C" w14:textId="0305ACC6" w:rsidR="005202B8" w:rsidRPr="0041278D" w:rsidRDefault="005202B8" w:rsidP="0094763A">
      <w:pPr>
        <w:spacing w:after="120"/>
        <w:jc w:val="both"/>
        <w:rPr>
          <w:rFonts w:ascii="Times New Roman" w:hAnsi="Times New Roman" w:cs="Times New Roman"/>
        </w:rPr>
      </w:pPr>
      <w:r w:rsidRPr="0041278D">
        <w:rPr>
          <w:rFonts w:ascii="Times New Roman" w:eastAsia="CIDFont+F1" w:hAnsi="Times New Roman" w:cs="Times New Roman"/>
          <w:kern w:val="0"/>
          <w:lang w:eastAsia="pt-BR" w:bidi="ar-SA"/>
        </w:rPr>
        <w:t>MARTINEZ, A</w:t>
      </w:r>
      <w:r w:rsidR="0054420C" w:rsidRPr="0041278D">
        <w:rPr>
          <w:rFonts w:ascii="Times New Roman" w:eastAsia="CIDFont+F1" w:hAnsi="Times New Roman" w:cs="Times New Roman"/>
          <w:kern w:val="0"/>
          <w:lang w:eastAsia="pt-BR" w:bidi="ar-SA"/>
        </w:rPr>
        <w:t>ntônio</w:t>
      </w:r>
      <w:r w:rsidRPr="0041278D">
        <w:rPr>
          <w:rFonts w:ascii="Times New Roman" w:eastAsia="CIDFont+F1" w:hAnsi="Times New Roman" w:cs="Times New Roman"/>
          <w:kern w:val="0"/>
          <w:lang w:eastAsia="pt-BR" w:bidi="ar-SA"/>
        </w:rPr>
        <w:t xml:space="preserve"> </w:t>
      </w:r>
      <w:proofErr w:type="spellStart"/>
      <w:r w:rsidRPr="0041278D">
        <w:rPr>
          <w:rFonts w:ascii="Times New Roman" w:eastAsia="CIDFont+F1" w:hAnsi="Times New Roman" w:cs="Times New Roman"/>
          <w:kern w:val="0"/>
          <w:lang w:eastAsia="pt-BR" w:bidi="ar-SA"/>
        </w:rPr>
        <w:t>L</w:t>
      </w:r>
      <w:r w:rsidR="0054420C" w:rsidRPr="0041278D">
        <w:rPr>
          <w:rFonts w:ascii="Times New Roman" w:eastAsia="CIDFont+F1" w:hAnsi="Times New Roman" w:cs="Times New Roman"/>
          <w:kern w:val="0"/>
          <w:lang w:eastAsia="pt-BR" w:bidi="ar-SA"/>
        </w:rPr>
        <w:t>opo</w:t>
      </w:r>
      <w:proofErr w:type="spellEnd"/>
      <w:r w:rsidRPr="0041278D">
        <w:rPr>
          <w:rFonts w:ascii="Times New Roman" w:eastAsia="CIDFont+F1" w:hAnsi="Times New Roman" w:cs="Times New Roman"/>
          <w:kern w:val="0"/>
          <w:lang w:eastAsia="pt-BR" w:bidi="ar-SA"/>
        </w:rPr>
        <w:t xml:space="preserve">; RAMALHO, G. C. Family </w:t>
      </w:r>
      <w:proofErr w:type="spellStart"/>
      <w:r w:rsidRPr="0041278D">
        <w:rPr>
          <w:rFonts w:ascii="Times New Roman" w:eastAsia="CIDFont+F1" w:hAnsi="Times New Roman" w:cs="Times New Roman"/>
          <w:kern w:val="0"/>
          <w:lang w:eastAsia="pt-BR" w:bidi="ar-SA"/>
        </w:rPr>
        <w:t>Firms</w:t>
      </w:r>
      <w:proofErr w:type="spellEnd"/>
      <w:r w:rsidRPr="0041278D">
        <w:rPr>
          <w:rFonts w:ascii="Times New Roman" w:eastAsia="CIDFont+F1" w:hAnsi="Times New Roman" w:cs="Times New Roman"/>
          <w:kern w:val="0"/>
          <w:lang w:eastAsia="pt-BR" w:bidi="ar-SA"/>
        </w:rPr>
        <w:t xml:space="preserve"> </w:t>
      </w:r>
      <w:proofErr w:type="spellStart"/>
      <w:r w:rsidRPr="0041278D">
        <w:rPr>
          <w:rFonts w:ascii="Times New Roman" w:eastAsia="CIDFont+F1" w:hAnsi="Times New Roman" w:cs="Times New Roman"/>
          <w:kern w:val="0"/>
          <w:lang w:eastAsia="pt-BR" w:bidi="ar-SA"/>
        </w:rPr>
        <w:t>and</w:t>
      </w:r>
      <w:proofErr w:type="spellEnd"/>
      <w:r w:rsidRPr="0041278D">
        <w:rPr>
          <w:rFonts w:ascii="Times New Roman" w:eastAsia="CIDFont+F1" w:hAnsi="Times New Roman" w:cs="Times New Roman"/>
          <w:kern w:val="0"/>
          <w:lang w:eastAsia="pt-BR" w:bidi="ar-SA"/>
        </w:rPr>
        <w:t xml:space="preserve"> </w:t>
      </w:r>
      <w:proofErr w:type="spellStart"/>
      <w:r w:rsidRPr="0041278D">
        <w:rPr>
          <w:rFonts w:ascii="Times New Roman" w:eastAsia="CIDFont+F1" w:hAnsi="Times New Roman" w:cs="Times New Roman"/>
          <w:kern w:val="0"/>
          <w:lang w:eastAsia="pt-BR" w:bidi="ar-SA"/>
        </w:rPr>
        <w:t>Tax</w:t>
      </w:r>
      <w:proofErr w:type="spellEnd"/>
      <w:r w:rsidRPr="0041278D">
        <w:rPr>
          <w:rFonts w:ascii="Times New Roman" w:eastAsia="CIDFont+F1" w:hAnsi="Times New Roman" w:cs="Times New Roman"/>
          <w:kern w:val="0"/>
          <w:lang w:eastAsia="pt-BR" w:bidi="ar-SA"/>
        </w:rPr>
        <w:t xml:space="preserve"> </w:t>
      </w:r>
      <w:proofErr w:type="spellStart"/>
      <w:r w:rsidRPr="0041278D">
        <w:rPr>
          <w:rFonts w:ascii="Times New Roman" w:eastAsia="CIDFont+F1" w:hAnsi="Times New Roman" w:cs="Times New Roman"/>
          <w:kern w:val="0"/>
          <w:lang w:eastAsia="pt-BR" w:bidi="ar-SA"/>
        </w:rPr>
        <w:t>Aggressiveness</w:t>
      </w:r>
      <w:proofErr w:type="spellEnd"/>
      <w:r w:rsidRPr="0041278D">
        <w:rPr>
          <w:rFonts w:ascii="Times New Roman" w:eastAsia="CIDFont+F1" w:hAnsi="Times New Roman" w:cs="Times New Roman"/>
          <w:kern w:val="0"/>
          <w:lang w:eastAsia="pt-BR" w:bidi="ar-SA"/>
        </w:rPr>
        <w:t xml:space="preserve"> in </w:t>
      </w:r>
      <w:proofErr w:type="spellStart"/>
      <w:r w:rsidRPr="0041278D">
        <w:rPr>
          <w:rFonts w:ascii="Times New Roman" w:eastAsia="CIDFont+F1" w:hAnsi="Times New Roman" w:cs="Times New Roman"/>
          <w:kern w:val="0"/>
          <w:lang w:eastAsia="pt-BR" w:bidi="ar-SA"/>
        </w:rPr>
        <w:t>Brazil</w:t>
      </w:r>
      <w:proofErr w:type="spellEnd"/>
      <w:r w:rsidRPr="0041278D">
        <w:rPr>
          <w:rFonts w:ascii="Times New Roman" w:eastAsia="CIDFont+F1" w:hAnsi="Times New Roman" w:cs="Times New Roman"/>
          <w:kern w:val="0"/>
          <w:lang w:eastAsia="pt-BR" w:bidi="ar-SA"/>
        </w:rPr>
        <w:t>.</w:t>
      </w:r>
      <w:r w:rsidR="0054420C" w:rsidRPr="0041278D">
        <w:rPr>
          <w:rFonts w:ascii="Times New Roman" w:eastAsia="CIDFont+F1" w:hAnsi="Times New Roman" w:cs="Times New Roman"/>
          <w:kern w:val="0"/>
          <w:lang w:eastAsia="pt-BR" w:bidi="ar-SA"/>
        </w:rPr>
        <w:t xml:space="preserve"> </w:t>
      </w:r>
      <w:proofErr w:type="spellStart"/>
      <w:r w:rsidRPr="0041278D">
        <w:rPr>
          <w:rFonts w:ascii="Times New Roman" w:eastAsia="CIDFont+F1" w:hAnsi="Times New Roman" w:cs="Times New Roman"/>
          <w:b/>
          <w:bCs/>
          <w:kern w:val="0"/>
          <w:lang w:eastAsia="pt-BR" w:bidi="ar-SA"/>
        </w:rPr>
        <w:t>International</w:t>
      </w:r>
      <w:proofErr w:type="spellEnd"/>
      <w:r w:rsidRPr="0041278D">
        <w:rPr>
          <w:rFonts w:ascii="Times New Roman" w:eastAsia="CIDFont+F1" w:hAnsi="Times New Roman" w:cs="Times New Roman"/>
          <w:b/>
          <w:bCs/>
          <w:kern w:val="0"/>
          <w:lang w:eastAsia="pt-BR" w:bidi="ar-SA"/>
        </w:rPr>
        <w:t xml:space="preserve"> Business </w:t>
      </w:r>
      <w:proofErr w:type="spellStart"/>
      <w:r w:rsidRPr="0041278D">
        <w:rPr>
          <w:rFonts w:ascii="Times New Roman" w:eastAsia="CIDFont+F1" w:hAnsi="Times New Roman" w:cs="Times New Roman"/>
          <w:b/>
          <w:bCs/>
          <w:kern w:val="0"/>
          <w:lang w:eastAsia="pt-BR" w:bidi="ar-SA"/>
        </w:rPr>
        <w:t>Research</w:t>
      </w:r>
      <w:proofErr w:type="spellEnd"/>
      <w:r w:rsidRPr="0041278D">
        <w:rPr>
          <w:rFonts w:ascii="Times New Roman" w:eastAsia="CIDFont+F1" w:hAnsi="Times New Roman" w:cs="Times New Roman"/>
          <w:kern w:val="0"/>
          <w:lang w:eastAsia="pt-BR" w:bidi="ar-SA"/>
        </w:rPr>
        <w:t>, v. 7, n. 3, p. 129-136, 2014</w:t>
      </w:r>
      <w:r w:rsidR="00AE24E0" w:rsidRPr="0041278D">
        <w:rPr>
          <w:rFonts w:ascii="Times New Roman" w:eastAsia="CIDFont+F1" w:hAnsi="Times New Roman" w:cs="Times New Roman"/>
          <w:kern w:val="0"/>
          <w:lang w:eastAsia="pt-BR" w:bidi="ar-SA"/>
        </w:rPr>
        <w:t>.</w:t>
      </w:r>
    </w:p>
    <w:p w14:paraId="22F13EB1" w14:textId="7EB74F20" w:rsidR="006F6A2D" w:rsidRPr="0041278D" w:rsidRDefault="006F6A2D" w:rsidP="0094763A">
      <w:pPr>
        <w:spacing w:after="120"/>
        <w:jc w:val="both"/>
        <w:rPr>
          <w:rFonts w:ascii="Times New Roman" w:hAnsi="Times New Roman" w:cs="Times New Roman"/>
        </w:rPr>
      </w:pPr>
      <w:r w:rsidRPr="0041278D">
        <w:rPr>
          <w:rFonts w:ascii="Times New Roman" w:hAnsi="Times New Roman" w:cs="Times New Roman"/>
        </w:rPr>
        <w:t xml:space="preserve">MARTINS, Gilberto de Andrade; DOMINGUES, Osmar. </w:t>
      </w:r>
      <w:r w:rsidRPr="0041278D">
        <w:rPr>
          <w:rFonts w:ascii="Times New Roman" w:hAnsi="Times New Roman" w:cs="Times New Roman"/>
          <w:b/>
          <w:bCs/>
        </w:rPr>
        <w:t>Est</w:t>
      </w:r>
      <w:r w:rsidR="004C0177" w:rsidRPr="0041278D">
        <w:rPr>
          <w:rFonts w:ascii="Times New Roman" w:hAnsi="Times New Roman" w:cs="Times New Roman"/>
          <w:b/>
          <w:bCs/>
        </w:rPr>
        <w:t>atís</w:t>
      </w:r>
      <w:r w:rsidRPr="0041278D">
        <w:rPr>
          <w:rFonts w:ascii="Times New Roman" w:hAnsi="Times New Roman" w:cs="Times New Roman"/>
          <w:b/>
          <w:bCs/>
        </w:rPr>
        <w:t>tica Geral e Aplicada</w:t>
      </w:r>
      <w:r w:rsidRPr="0041278D">
        <w:rPr>
          <w:rFonts w:ascii="Times New Roman" w:hAnsi="Times New Roman" w:cs="Times New Roman"/>
        </w:rPr>
        <w:t xml:space="preserve">. </w:t>
      </w:r>
      <w:r w:rsidR="004C0177" w:rsidRPr="0041278D">
        <w:rPr>
          <w:rFonts w:ascii="Times New Roman" w:hAnsi="Times New Roman" w:cs="Times New Roman"/>
        </w:rPr>
        <w:t>6 ed. São Paulo: At</w:t>
      </w:r>
      <w:r w:rsidRPr="0041278D">
        <w:rPr>
          <w:rFonts w:ascii="Times New Roman" w:hAnsi="Times New Roman" w:cs="Times New Roman"/>
        </w:rPr>
        <w:t xml:space="preserve">las, </w:t>
      </w:r>
      <w:r w:rsidR="004C0177" w:rsidRPr="0041278D">
        <w:rPr>
          <w:rFonts w:ascii="Times New Roman" w:hAnsi="Times New Roman" w:cs="Times New Roman"/>
        </w:rPr>
        <w:t>2017</w:t>
      </w:r>
      <w:r w:rsidRPr="0041278D">
        <w:rPr>
          <w:rFonts w:ascii="Times New Roman" w:hAnsi="Times New Roman" w:cs="Times New Roman"/>
        </w:rPr>
        <w:t xml:space="preserve">. </w:t>
      </w:r>
    </w:p>
    <w:p w14:paraId="55315623" w14:textId="59637D41" w:rsidR="003C2C9D" w:rsidRPr="0041278D" w:rsidRDefault="003C2C9D" w:rsidP="0094763A">
      <w:pPr>
        <w:spacing w:after="120"/>
        <w:jc w:val="both"/>
        <w:rPr>
          <w:rFonts w:ascii="Times New Roman" w:hAnsi="Times New Roman" w:cs="Times New Roman"/>
        </w:rPr>
      </w:pPr>
      <w:r w:rsidRPr="0041278D">
        <w:rPr>
          <w:rFonts w:ascii="Times New Roman" w:hAnsi="Times New Roman" w:cs="Times New Roman"/>
        </w:rPr>
        <w:t xml:space="preserve">MOREIRA, </w:t>
      </w:r>
      <w:proofErr w:type="spellStart"/>
      <w:r w:rsidRPr="0041278D">
        <w:rPr>
          <w:rFonts w:ascii="Times New Roman" w:hAnsi="Times New Roman" w:cs="Times New Roman"/>
        </w:rPr>
        <w:t>Caritsa</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Scartati</w:t>
      </w:r>
      <w:proofErr w:type="spellEnd"/>
      <w:r w:rsidRPr="0041278D">
        <w:rPr>
          <w:rFonts w:ascii="Times New Roman" w:hAnsi="Times New Roman" w:cs="Times New Roman"/>
        </w:rPr>
        <w:t xml:space="preserve">; SILVA, Maurício Corrêa. O efeito da governança tributária sobre o custo de capital das empresas brasileiras. </w:t>
      </w:r>
      <w:r w:rsidRPr="0041278D">
        <w:rPr>
          <w:rFonts w:ascii="Times New Roman" w:hAnsi="Times New Roman" w:cs="Times New Roman"/>
          <w:b/>
          <w:bCs/>
        </w:rPr>
        <w:t>Revista Científica Hermes</w:t>
      </w:r>
      <w:r w:rsidRPr="0041278D">
        <w:rPr>
          <w:rFonts w:ascii="Times New Roman" w:hAnsi="Times New Roman" w:cs="Times New Roman"/>
        </w:rPr>
        <w:t>.</w:t>
      </w:r>
      <w:r w:rsidRPr="0041278D">
        <w:rPr>
          <w:rFonts w:ascii="Times New Roman" w:hAnsi="Times New Roman" w:cs="Times New Roman"/>
          <w:i/>
          <w:iCs/>
        </w:rPr>
        <w:t xml:space="preserve"> [N.I]</w:t>
      </w:r>
      <w:r w:rsidRPr="0041278D">
        <w:rPr>
          <w:rFonts w:ascii="Times New Roman" w:hAnsi="Times New Roman" w:cs="Times New Roman"/>
        </w:rPr>
        <w:t>, vol. 23, 2019, p. 3-27.</w:t>
      </w:r>
      <w:r w:rsidR="00AE24E0" w:rsidRPr="0041278D">
        <w:rPr>
          <w:rFonts w:ascii="Times New Roman" w:hAnsi="Times New Roman" w:cs="Times New Roman"/>
        </w:rPr>
        <w:t xml:space="preserve"> 2019.</w:t>
      </w:r>
    </w:p>
    <w:p w14:paraId="1BCCC842" w14:textId="12BFB1A9" w:rsidR="00B10C8A" w:rsidRPr="0041278D" w:rsidRDefault="00B10C8A" w:rsidP="0094763A">
      <w:pPr>
        <w:suppressAutoHyphens w:val="0"/>
        <w:autoSpaceDE w:val="0"/>
        <w:autoSpaceDN w:val="0"/>
        <w:adjustRightInd w:val="0"/>
        <w:spacing w:after="120"/>
        <w:jc w:val="both"/>
        <w:rPr>
          <w:rFonts w:ascii="Times New Roman" w:hAnsi="Times New Roman" w:cs="Times New Roman"/>
          <w:kern w:val="0"/>
          <w:lang w:eastAsia="pt-BR" w:bidi="ar-SA"/>
        </w:rPr>
      </w:pPr>
      <w:r w:rsidRPr="0041278D">
        <w:rPr>
          <w:rFonts w:ascii="Times New Roman" w:hAnsi="Times New Roman" w:cs="Times New Roman"/>
          <w:kern w:val="0"/>
          <w:lang w:eastAsia="pt-BR" w:bidi="ar-SA"/>
        </w:rPr>
        <w:t xml:space="preserve">OLIVEIRA JÚNIOR, Elton Gomes de; MOREIRA, </w:t>
      </w:r>
      <w:proofErr w:type="spellStart"/>
      <w:r w:rsidRPr="0041278D">
        <w:rPr>
          <w:rFonts w:ascii="Times New Roman" w:hAnsi="Times New Roman" w:cs="Times New Roman"/>
          <w:kern w:val="0"/>
          <w:lang w:eastAsia="pt-BR" w:bidi="ar-SA"/>
        </w:rPr>
        <w:t>Caritsa</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Scartaty</w:t>
      </w:r>
      <w:proofErr w:type="spellEnd"/>
      <w:r w:rsidRPr="0041278D">
        <w:rPr>
          <w:rFonts w:ascii="Times New Roman" w:hAnsi="Times New Roman" w:cs="Times New Roman"/>
          <w:kern w:val="0"/>
          <w:lang w:eastAsia="pt-BR" w:bidi="ar-SA"/>
        </w:rPr>
        <w:t xml:space="preserve">; SOUZA, </w:t>
      </w:r>
      <w:proofErr w:type="spellStart"/>
      <w:r w:rsidRPr="0041278D">
        <w:rPr>
          <w:rFonts w:ascii="Times New Roman" w:hAnsi="Times New Roman" w:cs="Times New Roman"/>
          <w:kern w:val="0"/>
          <w:lang w:eastAsia="pt-BR" w:bidi="ar-SA"/>
        </w:rPr>
        <w:t>Jocykleber</w:t>
      </w:r>
      <w:proofErr w:type="spellEnd"/>
      <w:r w:rsidRPr="0041278D">
        <w:rPr>
          <w:rFonts w:ascii="Times New Roman" w:hAnsi="Times New Roman" w:cs="Times New Roman"/>
          <w:kern w:val="0"/>
          <w:lang w:eastAsia="pt-BR" w:bidi="ar-SA"/>
        </w:rPr>
        <w:t xml:space="preserve"> Meirelles de. </w:t>
      </w:r>
      <w:r w:rsidRPr="0041278D">
        <w:rPr>
          <w:rFonts w:ascii="Times New Roman" w:hAnsi="Times New Roman" w:cs="Times New Roman"/>
          <w:i/>
          <w:iCs/>
          <w:kern w:val="0"/>
          <w:lang w:eastAsia="pt-BR" w:bidi="ar-SA"/>
        </w:rPr>
        <w:t xml:space="preserve">Cash </w:t>
      </w:r>
      <w:proofErr w:type="spellStart"/>
      <w:r w:rsidRPr="0041278D">
        <w:rPr>
          <w:rFonts w:ascii="Times New Roman" w:hAnsi="Times New Roman" w:cs="Times New Roman"/>
          <w:i/>
          <w:iCs/>
          <w:kern w:val="0"/>
          <w:lang w:eastAsia="pt-BR" w:bidi="ar-SA"/>
        </w:rPr>
        <w:t>effective</w:t>
      </w:r>
      <w:proofErr w:type="spellEnd"/>
      <w:r w:rsidRPr="0041278D">
        <w:rPr>
          <w:rFonts w:ascii="Times New Roman" w:hAnsi="Times New Roman" w:cs="Times New Roman"/>
          <w:i/>
          <w:iCs/>
          <w:kern w:val="0"/>
          <w:lang w:eastAsia="pt-BR" w:bidi="ar-SA"/>
        </w:rPr>
        <w:t xml:space="preserve"> </w:t>
      </w:r>
      <w:proofErr w:type="spellStart"/>
      <w:r w:rsidRPr="0041278D">
        <w:rPr>
          <w:rFonts w:ascii="Times New Roman" w:hAnsi="Times New Roman" w:cs="Times New Roman"/>
          <w:i/>
          <w:iCs/>
          <w:kern w:val="0"/>
          <w:lang w:eastAsia="pt-BR" w:bidi="ar-SA"/>
        </w:rPr>
        <w:t>tax</w:t>
      </w:r>
      <w:proofErr w:type="spellEnd"/>
      <w:r w:rsidRPr="0041278D">
        <w:rPr>
          <w:rFonts w:ascii="Times New Roman" w:hAnsi="Times New Roman" w:cs="Times New Roman"/>
          <w:i/>
          <w:iCs/>
          <w:kern w:val="0"/>
          <w:lang w:eastAsia="pt-BR" w:bidi="ar-SA"/>
        </w:rPr>
        <w:t xml:space="preserve"> rate (</w:t>
      </w:r>
      <w:proofErr w:type="spellStart"/>
      <w:r w:rsidRPr="0041278D">
        <w:rPr>
          <w:rFonts w:ascii="Times New Roman" w:hAnsi="Times New Roman" w:cs="Times New Roman"/>
          <w:i/>
          <w:iCs/>
          <w:kern w:val="0"/>
          <w:lang w:eastAsia="pt-BR" w:bidi="ar-SA"/>
        </w:rPr>
        <w:t>CashETR</w:t>
      </w:r>
      <w:proofErr w:type="spellEnd"/>
      <w:r w:rsidRPr="0041278D">
        <w:rPr>
          <w:rFonts w:ascii="Times New Roman" w:hAnsi="Times New Roman" w:cs="Times New Roman"/>
          <w:i/>
          <w:iCs/>
          <w:kern w:val="0"/>
          <w:lang w:eastAsia="pt-BR" w:bidi="ar-SA"/>
        </w:rPr>
        <w:t>)</w:t>
      </w:r>
      <w:r w:rsidRPr="0041278D">
        <w:rPr>
          <w:rFonts w:ascii="Times New Roman" w:hAnsi="Times New Roman" w:cs="Times New Roman"/>
          <w:kern w:val="0"/>
          <w:lang w:eastAsia="pt-BR" w:bidi="ar-SA"/>
        </w:rPr>
        <w:t xml:space="preserve"> para determinação da relação entre o lucro e gerenciamento tributário: análise das empresas de energia elétrica da B3. </w:t>
      </w:r>
      <w:r w:rsidR="0044453D" w:rsidRPr="0041278D">
        <w:rPr>
          <w:rFonts w:ascii="Times New Roman" w:hAnsi="Times New Roman" w:cs="Times New Roman"/>
          <w:b/>
          <w:bCs/>
          <w:kern w:val="0"/>
          <w:lang w:eastAsia="pt-BR" w:bidi="ar-SA"/>
        </w:rPr>
        <w:t>Revista de Administração da Faculdade Estácio do Pará</w:t>
      </w:r>
      <w:r w:rsidR="0044453D" w:rsidRPr="0041278D">
        <w:rPr>
          <w:rFonts w:ascii="Times New Roman" w:hAnsi="Times New Roman" w:cs="Times New Roman"/>
          <w:kern w:val="0"/>
          <w:lang w:eastAsia="pt-BR" w:bidi="ar-SA"/>
        </w:rPr>
        <w:t>. Belém, vol. 7, núm. 13, junho, 2020, pp. 124-137.</w:t>
      </w:r>
      <w:r w:rsidR="00AE24E0" w:rsidRPr="0041278D">
        <w:rPr>
          <w:rFonts w:ascii="Times New Roman" w:hAnsi="Times New Roman" w:cs="Times New Roman"/>
          <w:kern w:val="0"/>
          <w:lang w:eastAsia="pt-BR" w:bidi="ar-SA"/>
        </w:rPr>
        <w:t xml:space="preserve"> 2020.</w:t>
      </w:r>
    </w:p>
    <w:p w14:paraId="0B3633E6" w14:textId="77777777" w:rsidR="008F3BC8" w:rsidRPr="0041278D" w:rsidRDefault="008F3BC8" w:rsidP="0094763A">
      <w:pPr>
        <w:suppressAutoHyphens w:val="0"/>
        <w:autoSpaceDE w:val="0"/>
        <w:autoSpaceDN w:val="0"/>
        <w:adjustRightInd w:val="0"/>
        <w:spacing w:after="120"/>
        <w:jc w:val="both"/>
        <w:rPr>
          <w:rFonts w:ascii="Times New Roman" w:hAnsi="Times New Roman" w:cs="Times New Roman"/>
          <w:b/>
          <w:bCs/>
          <w:kern w:val="0"/>
          <w:lang w:eastAsia="pt-BR" w:bidi="ar-SA"/>
        </w:rPr>
      </w:pPr>
      <w:r w:rsidRPr="0041278D">
        <w:rPr>
          <w:rFonts w:ascii="Times New Roman" w:hAnsi="Times New Roman" w:cs="Times New Roman"/>
          <w:kern w:val="0"/>
          <w:lang w:eastAsia="pt-BR" w:bidi="ar-SA"/>
        </w:rPr>
        <w:t xml:space="preserve">PLESKO, George A. </w:t>
      </w:r>
      <w:proofErr w:type="spellStart"/>
      <w:r w:rsidRPr="0041278D">
        <w:rPr>
          <w:rFonts w:ascii="Times New Roman" w:hAnsi="Times New Roman" w:cs="Times New Roman"/>
          <w:kern w:val="0"/>
          <w:lang w:eastAsia="pt-BR" w:bidi="ar-SA"/>
        </w:rPr>
        <w:t>An</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Evaluation</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of</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alternative</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measure</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of</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corporate</w:t>
      </w:r>
      <w:proofErr w:type="spellEnd"/>
      <w:r w:rsidRPr="0041278D">
        <w:rPr>
          <w:rFonts w:ascii="Times New Roman" w:hAnsi="Times New Roman" w:cs="Times New Roman"/>
          <w:kern w:val="0"/>
          <w:lang w:eastAsia="pt-BR" w:bidi="ar-SA"/>
        </w:rPr>
        <w:t xml:space="preserve"> </w:t>
      </w:r>
      <w:proofErr w:type="spellStart"/>
      <w:r w:rsidRPr="0041278D">
        <w:rPr>
          <w:rFonts w:ascii="Times New Roman" w:hAnsi="Times New Roman" w:cs="Times New Roman"/>
          <w:kern w:val="0"/>
          <w:lang w:eastAsia="pt-BR" w:bidi="ar-SA"/>
        </w:rPr>
        <w:t>tax</w:t>
      </w:r>
      <w:proofErr w:type="spellEnd"/>
      <w:r w:rsidRPr="0041278D">
        <w:rPr>
          <w:rFonts w:ascii="Times New Roman" w:hAnsi="Times New Roman" w:cs="Times New Roman"/>
          <w:kern w:val="0"/>
          <w:lang w:eastAsia="pt-BR" w:bidi="ar-SA"/>
        </w:rPr>
        <w:t xml:space="preserve"> rates. </w:t>
      </w:r>
      <w:proofErr w:type="spellStart"/>
      <w:r w:rsidRPr="0041278D">
        <w:rPr>
          <w:rFonts w:ascii="Times New Roman" w:hAnsi="Times New Roman" w:cs="Times New Roman"/>
          <w:b/>
          <w:bCs/>
          <w:kern w:val="0"/>
          <w:lang w:eastAsia="pt-BR" w:bidi="ar-SA"/>
        </w:rPr>
        <w:t>Journal</w:t>
      </w:r>
      <w:proofErr w:type="spellEnd"/>
      <w:r w:rsidRPr="0041278D">
        <w:rPr>
          <w:rFonts w:ascii="Times New Roman" w:hAnsi="Times New Roman" w:cs="Times New Roman"/>
          <w:b/>
          <w:bCs/>
          <w:kern w:val="0"/>
          <w:lang w:eastAsia="pt-BR" w:bidi="ar-SA"/>
        </w:rPr>
        <w:t xml:space="preserve"> of</w:t>
      </w:r>
    </w:p>
    <w:p w14:paraId="6A6BAA93" w14:textId="3200B55E" w:rsidR="001705FB" w:rsidRPr="0041278D" w:rsidRDefault="008F3BC8" w:rsidP="0094763A">
      <w:pPr>
        <w:suppressAutoHyphens w:val="0"/>
        <w:autoSpaceDE w:val="0"/>
        <w:autoSpaceDN w:val="0"/>
        <w:adjustRightInd w:val="0"/>
        <w:spacing w:after="120"/>
        <w:jc w:val="both"/>
        <w:rPr>
          <w:rFonts w:ascii="Times New Roman" w:eastAsia="CIDFont+F1" w:hAnsi="Times New Roman" w:cs="Times New Roman"/>
          <w:kern w:val="0"/>
          <w:lang w:eastAsia="pt-BR" w:bidi="ar-SA"/>
        </w:rPr>
      </w:pPr>
      <w:proofErr w:type="spellStart"/>
      <w:r w:rsidRPr="0041278D">
        <w:rPr>
          <w:rFonts w:ascii="Times New Roman" w:hAnsi="Times New Roman" w:cs="Times New Roman"/>
          <w:b/>
          <w:bCs/>
          <w:kern w:val="0"/>
          <w:lang w:eastAsia="pt-BR" w:bidi="ar-SA"/>
        </w:rPr>
        <w:t>Accounting</w:t>
      </w:r>
      <w:proofErr w:type="spellEnd"/>
      <w:r w:rsidRPr="0041278D">
        <w:rPr>
          <w:rFonts w:ascii="Times New Roman" w:hAnsi="Times New Roman" w:cs="Times New Roman"/>
          <w:b/>
          <w:bCs/>
          <w:kern w:val="0"/>
          <w:lang w:eastAsia="pt-BR" w:bidi="ar-SA"/>
        </w:rPr>
        <w:t xml:space="preserve"> </w:t>
      </w:r>
      <w:proofErr w:type="spellStart"/>
      <w:r w:rsidRPr="0041278D">
        <w:rPr>
          <w:rFonts w:ascii="Times New Roman" w:hAnsi="Times New Roman" w:cs="Times New Roman"/>
          <w:b/>
          <w:bCs/>
          <w:kern w:val="0"/>
          <w:lang w:eastAsia="pt-BR" w:bidi="ar-SA"/>
        </w:rPr>
        <w:t>and</w:t>
      </w:r>
      <w:proofErr w:type="spellEnd"/>
      <w:r w:rsidRPr="0041278D">
        <w:rPr>
          <w:rFonts w:ascii="Times New Roman" w:hAnsi="Times New Roman" w:cs="Times New Roman"/>
          <w:b/>
          <w:bCs/>
          <w:kern w:val="0"/>
          <w:lang w:eastAsia="pt-BR" w:bidi="ar-SA"/>
        </w:rPr>
        <w:t xml:space="preserve"> </w:t>
      </w:r>
      <w:proofErr w:type="spellStart"/>
      <w:r w:rsidRPr="0041278D">
        <w:rPr>
          <w:rFonts w:ascii="Times New Roman" w:hAnsi="Times New Roman" w:cs="Times New Roman"/>
          <w:b/>
          <w:bCs/>
          <w:kern w:val="0"/>
          <w:lang w:eastAsia="pt-BR" w:bidi="ar-SA"/>
        </w:rPr>
        <w:t>Economics</w:t>
      </w:r>
      <w:proofErr w:type="spellEnd"/>
      <w:r w:rsidRPr="0041278D">
        <w:rPr>
          <w:rFonts w:ascii="Times New Roman" w:hAnsi="Times New Roman" w:cs="Times New Roman"/>
          <w:kern w:val="0"/>
          <w:lang w:eastAsia="pt-BR" w:bidi="ar-SA"/>
        </w:rPr>
        <w:t>, v. 35, p. 201-226, 2003.</w:t>
      </w:r>
    </w:p>
    <w:p w14:paraId="234898F2" w14:textId="4C4E9E53" w:rsidR="001705FB" w:rsidRPr="0041278D" w:rsidRDefault="00EC2B00" w:rsidP="0094763A">
      <w:pPr>
        <w:suppressAutoHyphens w:val="0"/>
        <w:autoSpaceDE w:val="0"/>
        <w:autoSpaceDN w:val="0"/>
        <w:adjustRightInd w:val="0"/>
        <w:spacing w:after="120"/>
        <w:jc w:val="both"/>
        <w:rPr>
          <w:rFonts w:ascii="Times New Roman" w:eastAsia="CIDFont+F1" w:hAnsi="Times New Roman" w:cs="Times New Roman"/>
          <w:kern w:val="0"/>
          <w:lang w:eastAsia="pt-BR" w:bidi="ar-SA"/>
        </w:rPr>
      </w:pPr>
      <w:r w:rsidRPr="0041278D">
        <w:rPr>
          <w:rFonts w:ascii="Times New Roman" w:eastAsia="CIDFont+F1" w:hAnsi="Times New Roman" w:cs="Times New Roman"/>
          <w:kern w:val="0"/>
          <w:lang w:eastAsia="pt-BR" w:bidi="ar-SA"/>
        </w:rPr>
        <w:t>POHLMANN, Marcelo Coleto; IUDÍCIBUS, Sérgio.</w:t>
      </w:r>
      <w:r w:rsidR="001705FB" w:rsidRPr="0041278D">
        <w:rPr>
          <w:rFonts w:ascii="Times New Roman" w:eastAsia="CIDFont+F1" w:hAnsi="Times New Roman" w:cs="Times New Roman"/>
          <w:kern w:val="0"/>
          <w:lang w:eastAsia="pt-BR" w:bidi="ar-SA"/>
        </w:rPr>
        <w:t xml:space="preserve"> </w:t>
      </w:r>
      <w:r w:rsidR="001705FB" w:rsidRPr="0041278D">
        <w:rPr>
          <w:rFonts w:ascii="Times New Roman" w:eastAsia="CIDFont+F1" w:hAnsi="Times New Roman" w:cs="Times New Roman"/>
          <w:b/>
          <w:bCs/>
          <w:kern w:val="0"/>
          <w:lang w:eastAsia="pt-BR" w:bidi="ar-SA"/>
        </w:rPr>
        <w:t>Relação entre Tributação do Lucro e a Estrutura de Capital das Grandes Empresas no Brasil</w:t>
      </w:r>
      <w:r w:rsidR="001705FB" w:rsidRPr="0041278D">
        <w:rPr>
          <w:rFonts w:ascii="Times New Roman" w:eastAsia="CIDFont+F1" w:hAnsi="Times New Roman" w:cs="Times New Roman"/>
          <w:kern w:val="0"/>
          <w:lang w:eastAsia="pt-BR" w:bidi="ar-SA"/>
        </w:rPr>
        <w:t>. Revista Contabilidade &amp; Finanças - USP, v. 21, n. 53, p. 1-25, 2010.</w:t>
      </w:r>
    </w:p>
    <w:p w14:paraId="790250F8" w14:textId="3BC79F28" w:rsidR="00E321C4" w:rsidRPr="0041278D" w:rsidRDefault="00E321C4" w:rsidP="0094763A">
      <w:pPr>
        <w:suppressAutoHyphens w:val="0"/>
        <w:autoSpaceDE w:val="0"/>
        <w:autoSpaceDN w:val="0"/>
        <w:adjustRightInd w:val="0"/>
        <w:spacing w:after="120"/>
        <w:jc w:val="both"/>
        <w:rPr>
          <w:rFonts w:ascii="Times New Roman" w:hAnsi="Times New Roman" w:cs="Times New Roman"/>
          <w:caps/>
          <w:kern w:val="24"/>
        </w:rPr>
      </w:pPr>
      <w:r w:rsidRPr="0041278D">
        <w:rPr>
          <w:rFonts w:ascii="Times New Roman" w:eastAsia="CIDFont+F1" w:hAnsi="Times New Roman" w:cs="Times New Roman"/>
          <w:kern w:val="0"/>
          <w:lang w:eastAsia="pt-BR" w:bidi="ar-SA"/>
        </w:rPr>
        <w:t xml:space="preserve">POHLMANN, Marcelo Coleto; IUDÍCIBUS, Sérgio. </w:t>
      </w:r>
      <w:r w:rsidRPr="0041278D">
        <w:rPr>
          <w:rFonts w:ascii="Times New Roman" w:eastAsia="CIDFont+F1" w:hAnsi="Times New Roman" w:cs="Times New Roman"/>
          <w:b/>
          <w:bCs/>
          <w:kern w:val="0"/>
          <w:lang w:eastAsia="pt-BR" w:bidi="ar-SA"/>
        </w:rPr>
        <w:t>Tributação e Política Tributária Uma Abordagem Multidisciplinar</w:t>
      </w:r>
      <w:r w:rsidRPr="0041278D">
        <w:rPr>
          <w:rFonts w:ascii="Times New Roman" w:eastAsia="CIDFont+F1" w:hAnsi="Times New Roman" w:cs="Times New Roman"/>
          <w:kern w:val="0"/>
          <w:lang w:eastAsia="pt-BR" w:bidi="ar-SA"/>
        </w:rPr>
        <w:t xml:space="preserve">. </w:t>
      </w:r>
      <w:r w:rsidR="005054C8" w:rsidRPr="0041278D">
        <w:rPr>
          <w:rFonts w:ascii="Times New Roman" w:eastAsia="CIDFont+F1" w:hAnsi="Times New Roman" w:cs="Times New Roman"/>
          <w:kern w:val="0"/>
          <w:lang w:eastAsia="pt-BR" w:bidi="ar-SA"/>
        </w:rPr>
        <w:t>1 ed. São Paulo: Atlas, 2006</w:t>
      </w:r>
      <w:r w:rsidRPr="0041278D">
        <w:rPr>
          <w:rFonts w:ascii="Times New Roman" w:eastAsia="CIDFont+F1" w:hAnsi="Times New Roman" w:cs="Times New Roman"/>
          <w:kern w:val="0"/>
          <w:lang w:eastAsia="pt-BR" w:bidi="ar-SA"/>
        </w:rPr>
        <w:t>.</w:t>
      </w:r>
    </w:p>
    <w:p w14:paraId="4AB17422" w14:textId="09D36D86" w:rsidR="00073A36" w:rsidRPr="0041278D" w:rsidRDefault="00073A36" w:rsidP="0094763A">
      <w:pPr>
        <w:spacing w:after="120"/>
        <w:jc w:val="both"/>
        <w:rPr>
          <w:rFonts w:ascii="Times New Roman" w:hAnsi="Times New Roman" w:cs="Times New Roman"/>
        </w:rPr>
      </w:pPr>
      <w:r w:rsidRPr="0041278D">
        <w:rPr>
          <w:rFonts w:ascii="Times New Roman" w:hAnsi="Times New Roman" w:cs="Times New Roman"/>
          <w:caps/>
          <w:kern w:val="24"/>
        </w:rPr>
        <w:t>Receita Federal do Brasil</w:t>
      </w:r>
      <w:r w:rsidRPr="0041278D">
        <w:rPr>
          <w:rFonts w:ascii="Times New Roman" w:hAnsi="Times New Roman" w:cs="Times New Roman"/>
        </w:rPr>
        <w:t xml:space="preserve">. </w:t>
      </w:r>
      <w:r w:rsidRPr="0041278D">
        <w:rPr>
          <w:rFonts w:ascii="Times New Roman" w:hAnsi="Times New Roman" w:cs="Times New Roman"/>
          <w:b/>
          <w:bCs/>
        </w:rPr>
        <w:t xml:space="preserve">Instrução Normativa RFB nº 1.700, de 14 de </w:t>
      </w:r>
      <w:r w:rsidR="00EA702E" w:rsidRPr="0041278D">
        <w:rPr>
          <w:rFonts w:ascii="Times New Roman" w:hAnsi="Times New Roman" w:cs="Times New Roman"/>
          <w:b/>
          <w:bCs/>
        </w:rPr>
        <w:t>m</w:t>
      </w:r>
      <w:r w:rsidRPr="0041278D">
        <w:rPr>
          <w:rFonts w:ascii="Times New Roman" w:hAnsi="Times New Roman" w:cs="Times New Roman"/>
          <w:b/>
          <w:bCs/>
        </w:rPr>
        <w:t>arço de 2017</w:t>
      </w:r>
      <w:r w:rsidRPr="0041278D">
        <w:rPr>
          <w:rFonts w:ascii="Times New Roman" w:hAnsi="Times New Roman" w:cs="Times New Roman"/>
        </w:rPr>
        <w:t xml:space="preserve">.  </w:t>
      </w:r>
      <w:r w:rsidR="00060250" w:rsidRPr="0041278D">
        <w:rPr>
          <w:rFonts w:ascii="Times New Roman" w:hAnsi="Times New Roman" w:cs="Times New Roman"/>
          <w:color w:val="000000"/>
        </w:rPr>
        <w:t>Disponível em:&lt;</w:t>
      </w:r>
      <w:r w:rsidR="00EC2B00" w:rsidRPr="0041278D">
        <w:rPr>
          <w:rFonts w:ascii="Times New Roman" w:hAnsi="Times New Roman" w:cs="Times New Roman"/>
        </w:rPr>
        <w:t xml:space="preserve"> </w:t>
      </w:r>
      <w:hyperlink r:id="rId18" w:history="1">
        <w:r w:rsidR="00EC2B00" w:rsidRPr="0041278D">
          <w:rPr>
            <w:rStyle w:val="Hyperlink"/>
            <w:rFonts w:ascii="Times New Roman" w:hAnsi="Times New Roman" w:cs="Times New Roman"/>
          </w:rPr>
          <w:t>IN RFB  Nº 1700  -  2017 (fazenda.gov.br)</w:t>
        </w:r>
      </w:hyperlink>
      <w:r w:rsidR="00060250" w:rsidRPr="0041278D">
        <w:rPr>
          <w:rFonts w:ascii="Times New Roman" w:hAnsi="Times New Roman" w:cs="Times New Roman"/>
        </w:rPr>
        <w:t>&gt;</w:t>
      </w:r>
      <w:r w:rsidRPr="0041278D">
        <w:rPr>
          <w:rFonts w:ascii="Times New Roman" w:hAnsi="Times New Roman" w:cs="Times New Roman"/>
        </w:rPr>
        <w:t>.</w:t>
      </w:r>
      <w:r w:rsidR="00060250" w:rsidRPr="0041278D">
        <w:rPr>
          <w:rFonts w:ascii="Times New Roman" w:hAnsi="Times New Roman" w:cs="Times New Roman"/>
        </w:rPr>
        <w:t xml:space="preserve"> Acesso em</w:t>
      </w:r>
      <w:r w:rsidR="00AE7CD5" w:rsidRPr="0041278D">
        <w:rPr>
          <w:rFonts w:ascii="Times New Roman" w:hAnsi="Times New Roman" w:cs="Times New Roman"/>
        </w:rPr>
        <w:t>:</w:t>
      </w:r>
      <w:r w:rsidR="00060250" w:rsidRPr="0041278D">
        <w:rPr>
          <w:rFonts w:ascii="Times New Roman" w:hAnsi="Times New Roman" w:cs="Times New Roman"/>
        </w:rPr>
        <w:t xml:space="preserve"> </w:t>
      </w:r>
      <w:r w:rsidR="00B00B5F" w:rsidRPr="0041278D">
        <w:rPr>
          <w:rFonts w:ascii="Times New Roman" w:hAnsi="Times New Roman" w:cs="Times New Roman"/>
        </w:rPr>
        <w:t xml:space="preserve">15 </w:t>
      </w:r>
      <w:r w:rsidR="00596922" w:rsidRPr="0041278D">
        <w:rPr>
          <w:rFonts w:ascii="Times New Roman" w:hAnsi="Times New Roman" w:cs="Times New Roman"/>
        </w:rPr>
        <w:t>set</w:t>
      </w:r>
      <w:r w:rsidR="00B00B5F" w:rsidRPr="0041278D">
        <w:rPr>
          <w:rFonts w:ascii="Times New Roman" w:hAnsi="Times New Roman" w:cs="Times New Roman"/>
        </w:rPr>
        <w:t>. 2020.</w:t>
      </w:r>
    </w:p>
    <w:p w14:paraId="601AC51C" w14:textId="5F18E8B3" w:rsidR="00140442" w:rsidRPr="0041278D" w:rsidRDefault="00140442" w:rsidP="0094763A">
      <w:pPr>
        <w:spacing w:after="120"/>
        <w:jc w:val="both"/>
        <w:rPr>
          <w:rFonts w:ascii="Times New Roman" w:hAnsi="Times New Roman" w:cs="Times New Roman"/>
        </w:rPr>
      </w:pPr>
      <w:r w:rsidRPr="0041278D">
        <w:rPr>
          <w:rFonts w:ascii="Times New Roman" w:hAnsi="Times New Roman" w:cs="Times New Roman"/>
        </w:rPr>
        <w:t xml:space="preserve">RICHARDSON, Grant; LANIS, Roman. </w:t>
      </w:r>
      <w:proofErr w:type="spellStart"/>
      <w:r w:rsidRPr="0041278D">
        <w:rPr>
          <w:rFonts w:ascii="Times New Roman" w:hAnsi="Times New Roman" w:cs="Times New Roman"/>
        </w:rPr>
        <w:t>Determinants</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of</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the</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variability</w:t>
      </w:r>
      <w:proofErr w:type="spellEnd"/>
      <w:r w:rsidRPr="0041278D">
        <w:rPr>
          <w:rFonts w:ascii="Times New Roman" w:hAnsi="Times New Roman" w:cs="Times New Roman"/>
        </w:rPr>
        <w:t xml:space="preserve"> in </w:t>
      </w:r>
      <w:proofErr w:type="spellStart"/>
      <w:r w:rsidRPr="0041278D">
        <w:rPr>
          <w:rFonts w:ascii="Times New Roman" w:hAnsi="Times New Roman" w:cs="Times New Roman"/>
        </w:rPr>
        <w:t>corporate</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effective</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tax</w:t>
      </w:r>
      <w:proofErr w:type="spellEnd"/>
      <w:r w:rsidRPr="0041278D">
        <w:rPr>
          <w:rFonts w:ascii="Times New Roman" w:hAnsi="Times New Roman" w:cs="Times New Roman"/>
        </w:rPr>
        <w:t xml:space="preserve"> rate </w:t>
      </w:r>
      <w:proofErr w:type="spellStart"/>
      <w:r w:rsidRPr="0041278D">
        <w:rPr>
          <w:rFonts w:ascii="Times New Roman" w:hAnsi="Times New Roman" w:cs="Times New Roman"/>
        </w:rPr>
        <w:t>and</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tax</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reform</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Evidence</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from</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Australia</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b/>
          <w:bCs/>
        </w:rPr>
        <w:t>Journal</w:t>
      </w:r>
      <w:proofErr w:type="spellEnd"/>
      <w:r w:rsidRPr="0041278D">
        <w:rPr>
          <w:rFonts w:ascii="Times New Roman" w:hAnsi="Times New Roman" w:cs="Times New Roman"/>
          <w:b/>
          <w:bCs/>
        </w:rPr>
        <w:t xml:space="preserve"> </w:t>
      </w:r>
      <w:proofErr w:type="spellStart"/>
      <w:r w:rsidRPr="0041278D">
        <w:rPr>
          <w:rFonts w:ascii="Times New Roman" w:hAnsi="Times New Roman" w:cs="Times New Roman"/>
          <w:b/>
          <w:bCs/>
        </w:rPr>
        <w:t>of</w:t>
      </w:r>
      <w:proofErr w:type="spellEnd"/>
      <w:r w:rsidRPr="0041278D">
        <w:rPr>
          <w:rFonts w:ascii="Times New Roman" w:hAnsi="Times New Roman" w:cs="Times New Roman"/>
          <w:b/>
          <w:bCs/>
        </w:rPr>
        <w:t xml:space="preserve"> </w:t>
      </w:r>
      <w:proofErr w:type="spellStart"/>
      <w:r w:rsidRPr="0041278D">
        <w:rPr>
          <w:rFonts w:ascii="Times New Roman" w:hAnsi="Times New Roman" w:cs="Times New Roman"/>
          <w:b/>
          <w:bCs/>
        </w:rPr>
        <w:t>Accounting</w:t>
      </w:r>
      <w:proofErr w:type="spellEnd"/>
      <w:r w:rsidRPr="0041278D">
        <w:rPr>
          <w:rFonts w:ascii="Times New Roman" w:hAnsi="Times New Roman" w:cs="Times New Roman"/>
          <w:b/>
          <w:bCs/>
        </w:rPr>
        <w:t xml:space="preserve"> </w:t>
      </w:r>
      <w:proofErr w:type="spellStart"/>
      <w:r w:rsidRPr="0041278D">
        <w:rPr>
          <w:rFonts w:ascii="Times New Roman" w:hAnsi="Times New Roman" w:cs="Times New Roman"/>
          <w:b/>
          <w:bCs/>
        </w:rPr>
        <w:t>and</w:t>
      </w:r>
      <w:proofErr w:type="spellEnd"/>
      <w:r w:rsidRPr="0041278D">
        <w:rPr>
          <w:rFonts w:ascii="Times New Roman" w:hAnsi="Times New Roman" w:cs="Times New Roman"/>
          <w:b/>
          <w:bCs/>
        </w:rPr>
        <w:t xml:space="preserve"> </w:t>
      </w:r>
      <w:proofErr w:type="spellStart"/>
      <w:r w:rsidRPr="0041278D">
        <w:rPr>
          <w:rFonts w:ascii="Times New Roman" w:hAnsi="Times New Roman" w:cs="Times New Roman"/>
          <w:b/>
          <w:bCs/>
        </w:rPr>
        <w:t>Public</w:t>
      </w:r>
      <w:proofErr w:type="spellEnd"/>
      <w:r w:rsidRPr="0041278D">
        <w:rPr>
          <w:rFonts w:ascii="Times New Roman" w:hAnsi="Times New Roman" w:cs="Times New Roman"/>
          <w:b/>
          <w:bCs/>
        </w:rPr>
        <w:t xml:space="preserve"> </w:t>
      </w:r>
      <w:proofErr w:type="spellStart"/>
      <w:r w:rsidRPr="0041278D">
        <w:rPr>
          <w:rFonts w:ascii="Times New Roman" w:hAnsi="Times New Roman" w:cs="Times New Roman"/>
          <w:b/>
          <w:bCs/>
        </w:rPr>
        <w:t>Policy</w:t>
      </w:r>
      <w:proofErr w:type="spellEnd"/>
      <w:r w:rsidRPr="0041278D">
        <w:rPr>
          <w:rFonts w:ascii="Times New Roman" w:hAnsi="Times New Roman" w:cs="Times New Roman"/>
        </w:rPr>
        <w:t>.</w:t>
      </w:r>
      <w:r w:rsidR="006251C7" w:rsidRPr="0041278D">
        <w:rPr>
          <w:rFonts w:ascii="Times New Roman" w:hAnsi="Times New Roman" w:cs="Times New Roman"/>
        </w:rPr>
        <w:t xml:space="preserve"> Vol. 26. </w:t>
      </w:r>
      <w:proofErr w:type="spellStart"/>
      <w:r w:rsidR="006251C7" w:rsidRPr="0041278D">
        <w:rPr>
          <w:rFonts w:ascii="Times New Roman" w:hAnsi="Times New Roman" w:cs="Times New Roman"/>
        </w:rPr>
        <w:t>Issue</w:t>
      </w:r>
      <w:proofErr w:type="spellEnd"/>
      <w:r w:rsidR="006251C7" w:rsidRPr="0041278D">
        <w:rPr>
          <w:rFonts w:ascii="Times New Roman" w:hAnsi="Times New Roman" w:cs="Times New Roman"/>
        </w:rPr>
        <w:t xml:space="preserve"> 6. </w:t>
      </w:r>
      <w:proofErr w:type="spellStart"/>
      <w:r w:rsidR="006251C7" w:rsidRPr="0041278D">
        <w:rPr>
          <w:rFonts w:ascii="Times New Roman" w:hAnsi="Times New Roman" w:cs="Times New Roman"/>
        </w:rPr>
        <w:t>November-December</w:t>
      </w:r>
      <w:proofErr w:type="spellEnd"/>
      <w:r w:rsidR="006251C7" w:rsidRPr="0041278D">
        <w:rPr>
          <w:rFonts w:ascii="Times New Roman" w:hAnsi="Times New Roman" w:cs="Times New Roman"/>
        </w:rPr>
        <w:t xml:space="preserve"> 2007. pp. 689-704.</w:t>
      </w:r>
      <w:r w:rsidR="00AE24E0" w:rsidRPr="0041278D">
        <w:rPr>
          <w:rFonts w:ascii="Times New Roman" w:hAnsi="Times New Roman" w:cs="Times New Roman"/>
        </w:rPr>
        <w:t xml:space="preserve"> 2007.</w:t>
      </w:r>
    </w:p>
    <w:p w14:paraId="50998F29" w14:textId="6DE1F53D" w:rsidR="0044453D" w:rsidRPr="0041278D" w:rsidRDefault="0044453D" w:rsidP="0094763A">
      <w:pPr>
        <w:spacing w:after="120"/>
        <w:jc w:val="both"/>
        <w:rPr>
          <w:rFonts w:ascii="Times New Roman" w:hAnsi="Times New Roman" w:cs="Times New Roman"/>
        </w:rPr>
      </w:pPr>
      <w:r w:rsidRPr="0041278D">
        <w:rPr>
          <w:rFonts w:ascii="Times New Roman" w:hAnsi="Times New Roman" w:cs="Times New Roman"/>
        </w:rPr>
        <w:t xml:space="preserve">RODRIGUES, </w:t>
      </w:r>
      <w:proofErr w:type="spellStart"/>
      <w:r w:rsidRPr="0041278D">
        <w:rPr>
          <w:rFonts w:ascii="Times New Roman" w:hAnsi="Times New Roman" w:cs="Times New Roman"/>
        </w:rPr>
        <w:t>Dinamar</w:t>
      </w:r>
      <w:proofErr w:type="spellEnd"/>
      <w:r w:rsidRPr="0041278D">
        <w:rPr>
          <w:rFonts w:ascii="Times New Roman" w:hAnsi="Times New Roman" w:cs="Times New Roman"/>
        </w:rPr>
        <w:t xml:space="preserve"> </w:t>
      </w:r>
      <w:proofErr w:type="spellStart"/>
      <w:r w:rsidRPr="0041278D">
        <w:rPr>
          <w:rFonts w:ascii="Times New Roman" w:hAnsi="Times New Roman" w:cs="Times New Roman"/>
        </w:rPr>
        <w:t>Vidallas</w:t>
      </w:r>
      <w:proofErr w:type="spellEnd"/>
      <w:r w:rsidRPr="0041278D">
        <w:rPr>
          <w:rFonts w:ascii="Times New Roman" w:hAnsi="Times New Roman" w:cs="Times New Roman"/>
        </w:rPr>
        <w:t xml:space="preserve">; GALDI, Fernando Caio. Taxa de imposto efetiva nas empresas brasileiras: uma comparação entre empresas abertas e fechadas. </w:t>
      </w:r>
      <w:r w:rsidRPr="0041278D">
        <w:rPr>
          <w:rFonts w:ascii="Times New Roman" w:hAnsi="Times New Roman" w:cs="Times New Roman"/>
          <w:b/>
          <w:bCs/>
        </w:rPr>
        <w:t>Revista Contemporânea de Contabilidade</w:t>
      </w:r>
      <w:r w:rsidRPr="0041278D">
        <w:rPr>
          <w:rFonts w:ascii="Times New Roman" w:hAnsi="Times New Roman" w:cs="Times New Roman"/>
        </w:rPr>
        <w:t>. Florianópolis, vol. 17, núm. 42, janeiro-março, 2020, pp. 57-69.</w:t>
      </w:r>
      <w:r w:rsidR="00AE24E0" w:rsidRPr="0041278D">
        <w:rPr>
          <w:rFonts w:ascii="Times New Roman" w:hAnsi="Times New Roman" w:cs="Times New Roman"/>
        </w:rPr>
        <w:t xml:space="preserve"> 2020.</w:t>
      </w:r>
    </w:p>
    <w:p w14:paraId="3F223539" w14:textId="454A1F94" w:rsidR="001705FB" w:rsidRPr="0041278D" w:rsidRDefault="00073A36" w:rsidP="0094763A">
      <w:pPr>
        <w:suppressAutoHyphens w:val="0"/>
        <w:autoSpaceDE w:val="0"/>
        <w:autoSpaceDN w:val="0"/>
        <w:adjustRightInd w:val="0"/>
        <w:spacing w:after="120"/>
        <w:jc w:val="both"/>
        <w:rPr>
          <w:rFonts w:ascii="Times New Roman" w:eastAsia="CIDFont+F1" w:hAnsi="Times New Roman" w:cs="Times New Roman"/>
          <w:kern w:val="0"/>
          <w:lang w:eastAsia="pt-BR" w:bidi="ar-SA"/>
        </w:rPr>
      </w:pPr>
      <w:r w:rsidRPr="0041278D">
        <w:rPr>
          <w:rFonts w:ascii="Times New Roman" w:hAnsi="Times New Roman" w:cs="Times New Roman"/>
          <w:caps/>
          <w:kern w:val="24"/>
        </w:rPr>
        <w:t>Santos</w:t>
      </w:r>
      <w:r w:rsidRPr="0041278D">
        <w:rPr>
          <w:rFonts w:ascii="Times New Roman" w:hAnsi="Times New Roman" w:cs="Times New Roman"/>
        </w:rPr>
        <w:t xml:space="preserve">, </w:t>
      </w:r>
      <w:r w:rsidR="009049D7" w:rsidRPr="0041278D">
        <w:rPr>
          <w:rFonts w:ascii="Times New Roman" w:hAnsi="Times New Roman" w:cs="Times New Roman"/>
        </w:rPr>
        <w:t>M</w:t>
      </w:r>
      <w:r w:rsidR="00923514" w:rsidRPr="0041278D">
        <w:rPr>
          <w:rFonts w:ascii="Times New Roman" w:hAnsi="Times New Roman" w:cs="Times New Roman"/>
        </w:rPr>
        <w:t>ateus</w:t>
      </w:r>
      <w:r w:rsidR="009049D7" w:rsidRPr="0041278D">
        <w:rPr>
          <w:rFonts w:ascii="Times New Roman" w:hAnsi="Times New Roman" w:cs="Times New Roman"/>
        </w:rPr>
        <w:t xml:space="preserve"> A</w:t>
      </w:r>
      <w:r w:rsidR="00923514" w:rsidRPr="0041278D">
        <w:rPr>
          <w:rFonts w:ascii="Times New Roman" w:hAnsi="Times New Roman" w:cs="Times New Roman"/>
        </w:rPr>
        <w:t>lexandre</w:t>
      </w:r>
      <w:r w:rsidR="009049D7" w:rsidRPr="0041278D">
        <w:rPr>
          <w:rFonts w:ascii="Times New Roman" w:hAnsi="Times New Roman" w:cs="Times New Roman"/>
        </w:rPr>
        <w:t xml:space="preserve"> C</w:t>
      </w:r>
      <w:r w:rsidR="00923514" w:rsidRPr="0041278D">
        <w:rPr>
          <w:rFonts w:ascii="Times New Roman" w:hAnsi="Times New Roman" w:cs="Times New Roman"/>
        </w:rPr>
        <w:t>osta dos.</w:t>
      </w:r>
      <w:r w:rsidRPr="0041278D">
        <w:rPr>
          <w:rFonts w:ascii="Times New Roman" w:hAnsi="Times New Roman" w:cs="Times New Roman"/>
        </w:rPr>
        <w:t xml:space="preserve"> </w:t>
      </w:r>
      <w:r w:rsidRPr="0041278D">
        <w:rPr>
          <w:rFonts w:ascii="Times New Roman" w:hAnsi="Times New Roman" w:cs="Times New Roman"/>
          <w:b/>
          <w:bCs/>
        </w:rPr>
        <w:t>Contabilidade Tributária Um enfoque nos IFRS e na Legislação do IRPJ</w:t>
      </w:r>
      <w:r w:rsidR="00C0597D" w:rsidRPr="0041278D">
        <w:rPr>
          <w:rFonts w:ascii="Times New Roman" w:hAnsi="Times New Roman" w:cs="Times New Roman"/>
        </w:rPr>
        <w:t xml:space="preserve">. </w:t>
      </w:r>
      <w:r w:rsidRPr="0041278D">
        <w:rPr>
          <w:rFonts w:ascii="Times New Roman" w:hAnsi="Times New Roman" w:cs="Times New Roman"/>
        </w:rPr>
        <w:t>São Paulo</w:t>
      </w:r>
      <w:r w:rsidR="004C0177" w:rsidRPr="0041278D">
        <w:rPr>
          <w:rFonts w:ascii="Times New Roman" w:hAnsi="Times New Roman" w:cs="Times New Roman"/>
        </w:rPr>
        <w:t>: Atlas, 2015</w:t>
      </w:r>
      <w:r w:rsidRPr="0041278D">
        <w:rPr>
          <w:rFonts w:ascii="Times New Roman" w:hAnsi="Times New Roman" w:cs="Times New Roman"/>
        </w:rPr>
        <w:t>.</w:t>
      </w:r>
    </w:p>
    <w:p w14:paraId="3F7C90A7" w14:textId="25E3DAEC" w:rsidR="006F6A2D" w:rsidRPr="00F83A22" w:rsidRDefault="001705FB" w:rsidP="0094763A">
      <w:pPr>
        <w:suppressAutoHyphens w:val="0"/>
        <w:autoSpaceDE w:val="0"/>
        <w:autoSpaceDN w:val="0"/>
        <w:adjustRightInd w:val="0"/>
        <w:spacing w:after="120"/>
        <w:jc w:val="both"/>
        <w:rPr>
          <w:rFonts w:ascii="Times New Roman" w:eastAsia="CIDFont+F1" w:hAnsi="Times New Roman" w:cs="Times New Roman"/>
          <w:kern w:val="0"/>
          <w:lang w:val="es-419" w:eastAsia="pt-BR" w:bidi="ar-SA"/>
        </w:rPr>
      </w:pPr>
      <w:r w:rsidRPr="0041278D">
        <w:rPr>
          <w:rFonts w:ascii="Times New Roman" w:eastAsia="CIDFont+F1" w:hAnsi="Times New Roman" w:cs="Times New Roman"/>
          <w:kern w:val="0"/>
          <w:lang w:eastAsia="pt-BR" w:bidi="ar-SA"/>
        </w:rPr>
        <w:t>SANTOS, M</w:t>
      </w:r>
      <w:r w:rsidR="00923514" w:rsidRPr="0041278D">
        <w:rPr>
          <w:rFonts w:ascii="Times New Roman" w:eastAsia="CIDFont+F1" w:hAnsi="Times New Roman" w:cs="Times New Roman"/>
          <w:kern w:val="0"/>
          <w:lang w:eastAsia="pt-BR" w:bidi="ar-SA"/>
        </w:rPr>
        <w:t>ateus</w:t>
      </w:r>
      <w:r w:rsidRPr="0041278D">
        <w:rPr>
          <w:rFonts w:ascii="Times New Roman" w:eastAsia="CIDFont+F1" w:hAnsi="Times New Roman" w:cs="Times New Roman"/>
          <w:kern w:val="0"/>
          <w:lang w:eastAsia="pt-BR" w:bidi="ar-SA"/>
        </w:rPr>
        <w:t xml:space="preserve"> A</w:t>
      </w:r>
      <w:r w:rsidR="00923514" w:rsidRPr="0041278D">
        <w:rPr>
          <w:rFonts w:ascii="Times New Roman" w:eastAsia="CIDFont+F1" w:hAnsi="Times New Roman" w:cs="Times New Roman"/>
          <w:kern w:val="0"/>
          <w:lang w:eastAsia="pt-BR" w:bidi="ar-SA"/>
        </w:rPr>
        <w:t>lexandre</w:t>
      </w:r>
      <w:r w:rsidRPr="0041278D">
        <w:rPr>
          <w:rFonts w:ascii="Times New Roman" w:eastAsia="CIDFont+F1" w:hAnsi="Times New Roman" w:cs="Times New Roman"/>
          <w:kern w:val="0"/>
          <w:lang w:eastAsia="pt-BR" w:bidi="ar-SA"/>
        </w:rPr>
        <w:t xml:space="preserve"> C</w:t>
      </w:r>
      <w:r w:rsidR="00923514" w:rsidRPr="0041278D">
        <w:rPr>
          <w:rFonts w:ascii="Times New Roman" w:eastAsia="CIDFont+F1" w:hAnsi="Times New Roman" w:cs="Times New Roman"/>
          <w:kern w:val="0"/>
          <w:lang w:eastAsia="pt-BR" w:bidi="ar-SA"/>
        </w:rPr>
        <w:t>osta dos</w:t>
      </w:r>
      <w:r w:rsidRPr="0041278D">
        <w:rPr>
          <w:rFonts w:ascii="Times New Roman" w:eastAsia="CIDFont+F1" w:hAnsi="Times New Roman" w:cs="Times New Roman"/>
          <w:kern w:val="0"/>
          <w:lang w:eastAsia="pt-BR" w:bidi="ar-SA"/>
        </w:rPr>
        <w:t>; CAVALCANTE, P</w:t>
      </w:r>
      <w:r w:rsidR="00923514" w:rsidRPr="0041278D">
        <w:rPr>
          <w:rFonts w:ascii="Times New Roman" w:eastAsia="CIDFont+F1" w:hAnsi="Times New Roman" w:cs="Times New Roman"/>
          <w:kern w:val="0"/>
          <w:lang w:eastAsia="pt-BR" w:bidi="ar-SA"/>
        </w:rPr>
        <w:t>aulo</w:t>
      </w:r>
      <w:r w:rsidRPr="0041278D">
        <w:rPr>
          <w:rFonts w:ascii="Times New Roman" w:eastAsia="CIDFont+F1" w:hAnsi="Times New Roman" w:cs="Times New Roman"/>
          <w:kern w:val="0"/>
          <w:lang w:eastAsia="pt-BR" w:bidi="ar-SA"/>
        </w:rPr>
        <w:t xml:space="preserve"> R</w:t>
      </w:r>
      <w:r w:rsidR="00923514" w:rsidRPr="0041278D">
        <w:rPr>
          <w:rFonts w:ascii="Times New Roman" w:eastAsia="CIDFont+F1" w:hAnsi="Times New Roman" w:cs="Times New Roman"/>
          <w:kern w:val="0"/>
          <w:lang w:eastAsia="pt-BR" w:bidi="ar-SA"/>
        </w:rPr>
        <w:t>oberto</w:t>
      </w:r>
      <w:r w:rsidRPr="0041278D">
        <w:rPr>
          <w:rFonts w:ascii="Times New Roman" w:eastAsia="CIDFont+F1" w:hAnsi="Times New Roman" w:cs="Times New Roman"/>
          <w:kern w:val="0"/>
          <w:lang w:eastAsia="pt-BR" w:bidi="ar-SA"/>
        </w:rPr>
        <w:t xml:space="preserve"> N</w:t>
      </w:r>
      <w:r w:rsidR="00923514" w:rsidRPr="0041278D">
        <w:rPr>
          <w:rFonts w:ascii="Times New Roman" w:eastAsia="CIDFont+F1" w:hAnsi="Times New Roman" w:cs="Times New Roman"/>
          <w:kern w:val="0"/>
          <w:lang w:eastAsia="pt-BR" w:bidi="ar-SA"/>
        </w:rPr>
        <w:t>óbrega</w:t>
      </w:r>
      <w:r w:rsidRPr="0041278D">
        <w:rPr>
          <w:rFonts w:ascii="Times New Roman" w:eastAsia="CIDFont+F1" w:hAnsi="Times New Roman" w:cs="Times New Roman"/>
          <w:kern w:val="0"/>
          <w:lang w:eastAsia="pt-BR" w:bidi="ar-SA"/>
        </w:rPr>
        <w:t>; RODRIGUES, R</w:t>
      </w:r>
      <w:r w:rsidR="00923514" w:rsidRPr="0041278D">
        <w:rPr>
          <w:rFonts w:ascii="Times New Roman" w:eastAsia="CIDFont+F1" w:hAnsi="Times New Roman" w:cs="Times New Roman"/>
          <w:kern w:val="0"/>
          <w:lang w:eastAsia="pt-BR" w:bidi="ar-SA"/>
        </w:rPr>
        <w:t>aimundo</w:t>
      </w:r>
      <w:r w:rsidRPr="0041278D">
        <w:rPr>
          <w:rFonts w:ascii="Times New Roman" w:eastAsia="CIDFont+F1" w:hAnsi="Times New Roman" w:cs="Times New Roman"/>
          <w:kern w:val="0"/>
          <w:lang w:eastAsia="pt-BR" w:bidi="ar-SA"/>
        </w:rPr>
        <w:t xml:space="preserve"> N</w:t>
      </w:r>
      <w:r w:rsidR="00923514" w:rsidRPr="0041278D">
        <w:rPr>
          <w:rFonts w:ascii="Times New Roman" w:eastAsia="CIDFont+F1" w:hAnsi="Times New Roman" w:cs="Times New Roman"/>
          <w:kern w:val="0"/>
          <w:lang w:eastAsia="pt-BR" w:bidi="ar-SA"/>
        </w:rPr>
        <w:t>onato</w:t>
      </w:r>
      <w:r w:rsidRPr="0041278D">
        <w:rPr>
          <w:rFonts w:ascii="Times New Roman" w:eastAsia="CIDFont+F1" w:hAnsi="Times New Roman" w:cs="Times New Roman"/>
          <w:kern w:val="0"/>
          <w:lang w:eastAsia="pt-BR" w:bidi="ar-SA"/>
        </w:rPr>
        <w:t xml:space="preserve">. </w:t>
      </w:r>
      <w:r w:rsidRPr="0041278D">
        <w:rPr>
          <w:rFonts w:ascii="Times New Roman" w:eastAsia="CIDFont+F1" w:hAnsi="Times New Roman" w:cs="Times New Roman"/>
          <w:b/>
          <w:bCs/>
          <w:kern w:val="0"/>
          <w:lang w:eastAsia="pt-BR" w:bidi="ar-SA"/>
        </w:rPr>
        <w:t>Tamanho da firma e outros determinantes da tributação efetiva sobre o lucro no brasil</w:t>
      </w:r>
      <w:r w:rsidRPr="0041278D">
        <w:rPr>
          <w:rFonts w:ascii="Times New Roman" w:eastAsia="CIDFont+F1" w:hAnsi="Times New Roman" w:cs="Times New Roman"/>
          <w:kern w:val="0"/>
          <w:lang w:eastAsia="pt-BR" w:bidi="ar-SA"/>
        </w:rPr>
        <w:t xml:space="preserve">. </w:t>
      </w:r>
      <w:proofErr w:type="spellStart"/>
      <w:r w:rsidRPr="00F83A22">
        <w:rPr>
          <w:rFonts w:ascii="Times New Roman" w:eastAsia="CIDFont+F1" w:hAnsi="Times New Roman" w:cs="Times New Roman"/>
          <w:kern w:val="0"/>
          <w:lang w:val="es-419" w:eastAsia="pt-BR" w:bidi="ar-SA"/>
        </w:rPr>
        <w:t>Advances</w:t>
      </w:r>
      <w:proofErr w:type="spellEnd"/>
      <w:r w:rsidRPr="00F83A22">
        <w:rPr>
          <w:rFonts w:ascii="Times New Roman" w:eastAsia="CIDFont+F1" w:hAnsi="Times New Roman" w:cs="Times New Roman"/>
          <w:kern w:val="0"/>
          <w:lang w:val="es-419" w:eastAsia="pt-BR" w:bidi="ar-SA"/>
        </w:rPr>
        <w:t xml:space="preserve"> in </w:t>
      </w:r>
      <w:proofErr w:type="spellStart"/>
      <w:r w:rsidRPr="00F83A22">
        <w:rPr>
          <w:rFonts w:ascii="Times New Roman" w:eastAsia="CIDFont+F1" w:hAnsi="Times New Roman" w:cs="Times New Roman"/>
          <w:kern w:val="0"/>
          <w:lang w:val="es-419" w:eastAsia="pt-BR" w:bidi="ar-SA"/>
        </w:rPr>
        <w:t>Scientific</w:t>
      </w:r>
      <w:proofErr w:type="spellEnd"/>
      <w:r w:rsidRPr="00F83A22">
        <w:rPr>
          <w:rFonts w:ascii="Times New Roman" w:eastAsia="CIDFont+F1" w:hAnsi="Times New Roman" w:cs="Times New Roman"/>
          <w:kern w:val="0"/>
          <w:lang w:val="es-419" w:eastAsia="pt-BR" w:bidi="ar-SA"/>
        </w:rPr>
        <w:t xml:space="preserve"> and </w:t>
      </w:r>
      <w:proofErr w:type="spellStart"/>
      <w:r w:rsidRPr="00F83A22">
        <w:rPr>
          <w:rFonts w:ascii="Times New Roman" w:eastAsia="CIDFont+F1" w:hAnsi="Times New Roman" w:cs="Times New Roman"/>
          <w:kern w:val="0"/>
          <w:lang w:val="es-419" w:eastAsia="pt-BR" w:bidi="ar-SA"/>
        </w:rPr>
        <w:t>Applied</w:t>
      </w:r>
      <w:proofErr w:type="spellEnd"/>
      <w:r w:rsidRPr="00F83A22">
        <w:rPr>
          <w:rFonts w:ascii="Times New Roman" w:eastAsia="CIDFont+F1" w:hAnsi="Times New Roman" w:cs="Times New Roman"/>
          <w:kern w:val="0"/>
          <w:lang w:val="es-419" w:eastAsia="pt-BR" w:bidi="ar-SA"/>
        </w:rPr>
        <w:t xml:space="preserve"> </w:t>
      </w:r>
      <w:proofErr w:type="spellStart"/>
      <w:r w:rsidRPr="00F83A22">
        <w:rPr>
          <w:rFonts w:ascii="Times New Roman" w:eastAsia="CIDFont+F1" w:hAnsi="Times New Roman" w:cs="Times New Roman"/>
          <w:kern w:val="0"/>
          <w:lang w:val="es-419" w:eastAsia="pt-BR" w:bidi="ar-SA"/>
        </w:rPr>
        <w:t>Accounting</w:t>
      </w:r>
      <w:proofErr w:type="spellEnd"/>
      <w:r w:rsidRPr="00F83A22">
        <w:rPr>
          <w:rFonts w:ascii="Times New Roman" w:eastAsia="CIDFont+F1" w:hAnsi="Times New Roman" w:cs="Times New Roman"/>
          <w:kern w:val="0"/>
          <w:lang w:val="es-419" w:eastAsia="pt-BR" w:bidi="ar-SA"/>
        </w:rPr>
        <w:t xml:space="preserve"> – ASAA, v. 6, n. 2, p. 179-210, 2013.</w:t>
      </w:r>
    </w:p>
    <w:p w14:paraId="44FC4E7F" w14:textId="240BCC45" w:rsidR="00596922" w:rsidRPr="0041278D" w:rsidRDefault="00596922" w:rsidP="0094763A">
      <w:pPr>
        <w:suppressAutoHyphens w:val="0"/>
        <w:autoSpaceDE w:val="0"/>
        <w:autoSpaceDN w:val="0"/>
        <w:adjustRightInd w:val="0"/>
        <w:spacing w:after="120"/>
        <w:jc w:val="both"/>
        <w:rPr>
          <w:rFonts w:ascii="Times New Roman" w:hAnsi="Times New Roman" w:cs="Times New Roman"/>
        </w:rPr>
      </w:pPr>
      <w:r w:rsidRPr="0041278D">
        <w:rPr>
          <w:rFonts w:ascii="Times New Roman" w:eastAsia="CIDFont+F1" w:hAnsi="Times New Roman" w:cs="Times New Roman"/>
          <w:kern w:val="0"/>
          <w:lang w:eastAsia="pt-BR" w:bidi="ar-SA"/>
        </w:rPr>
        <w:lastRenderedPageBreak/>
        <w:t xml:space="preserve">SILVA, Cláudia Lúcia Pimentel Martins da; SANTOS, Mateus Alexandre Costa dos; KOGA, Gilson </w:t>
      </w:r>
      <w:proofErr w:type="spellStart"/>
      <w:r w:rsidRPr="0041278D">
        <w:rPr>
          <w:rFonts w:ascii="Times New Roman" w:eastAsia="CIDFont+F1" w:hAnsi="Times New Roman" w:cs="Times New Roman"/>
          <w:kern w:val="0"/>
          <w:lang w:eastAsia="pt-BR" w:bidi="ar-SA"/>
        </w:rPr>
        <w:t>Hiroyuki</w:t>
      </w:r>
      <w:proofErr w:type="spellEnd"/>
      <w:r w:rsidRPr="0041278D">
        <w:rPr>
          <w:rFonts w:ascii="Times New Roman" w:eastAsia="CIDFont+F1" w:hAnsi="Times New Roman" w:cs="Times New Roman"/>
          <w:kern w:val="0"/>
          <w:lang w:eastAsia="pt-BR" w:bidi="ar-SA"/>
        </w:rPr>
        <w:t xml:space="preserve">; BARBOSA, Ricardo Antônio Carvalho. Tributação e IFRS no Brasil: Alterações na Legislação do IRPJ, CSLL, PIS/PASEP e da COFINS, </w:t>
      </w:r>
      <w:proofErr w:type="gramStart"/>
      <w:r w:rsidRPr="0041278D">
        <w:rPr>
          <w:rFonts w:ascii="Times New Roman" w:eastAsia="CIDFont+F1" w:hAnsi="Times New Roman" w:cs="Times New Roman"/>
          <w:kern w:val="0"/>
          <w:lang w:eastAsia="pt-BR" w:bidi="ar-SA"/>
        </w:rPr>
        <w:t>Trazida</w:t>
      </w:r>
      <w:proofErr w:type="gramEnd"/>
      <w:r w:rsidRPr="0041278D">
        <w:rPr>
          <w:rFonts w:ascii="Times New Roman" w:eastAsia="CIDFont+F1" w:hAnsi="Times New Roman" w:cs="Times New Roman"/>
          <w:kern w:val="0"/>
          <w:lang w:eastAsia="pt-BR" w:bidi="ar-SA"/>
        </w:rPr>
        <w:t xml:space="preserve"> pela Lei Nº 12.973/2014. </w:t>
      </w:r>
      <w:r w:rsidRPr="0041278D">
        <w:rPr>
          <w:rFonts w:ascii="Times New Roman" w:eastAsia="CIDFont+F1" w:hAnsi="Times New Roman" w:cs="Times New Roman"/>
          <w:b/>
          <w:bCs/>
          <w:kern w:val="0"/>
          <w:lang w:eastAsia="pt-BR" w:bidi="ar-SA"/>
        </w:rPr>
        <w:t>Revista da Receita Federal</w:t>
      </w:r>
      <w:r w:rsidRPr="0041278D">
        <w:rPr>
          <w:rFonts w:ascii="Times New Roman" w:eastAsia="CIDFont+F1" w:hAnsi="Times New Roman" w:cs="Times New Roman"/>
          <w:kern w:val="0"/>
          <w:lang w:eastAsia="pt-BR" w:bidi="ar-SA"/>
        </w:rPr>
        <w:t xml:space="preserve">. </w:t>
      </w:r>
      <w:r w:rsidR="0079408D" w:rsidRPr="0041278D">
        <w:rPr>
          <w:rFonts w:ascii="Times New Roman" w:eastAsia="CIDFont+F1" w:hAnsi="Times New Roman" w:cs="Times New Roman"/>
          <w:kern w:val="0"/>
          <w:lang w:eastAsia="pt-BR" w:bidi="ar-SA"/>
        </w:rPr>
        <w:t>v</w:t>
      </w:r>
      <w:r w:rsidR="00AE24E0" w:rsidRPr="0041278D">
        <w:rPr>
          <w:rFonts w:ascii="Times New Roman" w:eastAsia="CIDFont+F1" w:hAnsi="Times New Roman" w:cs="Times New Roman"/>
          <w:kern w:val="0"/>
          <w:lang w:eastAsia="pt-BR" w:bidi="ar-SA"/>
        </w:rPr>
        <w:t xml:space="preserve">. 1. </w:t>
      </w:r>
      <w:r w:rsidR="0079408D" w:rsidRPr="0041278D">
        <w:rPr>
          <w:rFonts w:ascii="Times New Roman" w:eastAsia="CIDFont+F1" w:hAnsi="Times New Roman" w:cs="Times New Roman"/>
          <w:kern w:val="0"/>
          <w:lang w:eastAsia="pt-BR" w:bidi="ar-SA"/>
        </w:rPr>
        <w:t>n</w:t>
      </w:r>
      <w:r w:rsidR="00AE24E0" w:rsidRPr="0041278D">
        <w:rPr>
          <w:rFonts w:ascii="Times New Roman" w:eastAsia="CIDFont+F1" w:hAnsi="Times New Roman" w:cs="Times New Roman"/>
          <w:kern w:val="0"/>
          <w:lang w:eastAsia="pt-BR" w:bidi="ar-SA"/>
        </w:rPr>
        <w:t xml:space="preserve">. 1. </w:t>
      </w:r>
      <w:proofErr w:type="spellStart"/>
      <w:r w:rsidR="00AE24E0" w:rsidRPr="0041278D">
        <w:rPr>
          <w:rFonts w:ascii="Times New Roman" w:eastAsia="CIDFont+F1" w:hAnsi="Times New Roman" w:cs="Times New Roman"/>
          <w:kern w:val="0"/>
          <w:lang w:eastAsia="pt-BR" w:bidi="ar-SA"/>
        </w:rPr>
        <w:t>Ago</w:t>
      </w:r>
      <w:proofErr w:type="spellEnd"/>
      <w:r w:rsidR="00AE24E0" w:rsidRPr="0041278D">
        <w:rPr>
          <w:rFonts w:ascii="Times New Roman" w:eastAsia="CIDFont+F1" w:hAnsi="Times New Roman" w:cs="Times New Roman"/>
          <w:kern w:val="0"/>
          <w:lang w:eastAsia="pt-BR" w:bidi="ar-SA"/>
        </w:rPr>
        <w:t xml:space="preserve">/Dez 2014. p. 393-422. 2014.  </w:t>
      </w:r>
    </w:p>
    <w:sectPr w:rsidR="00596922" w:rsidRPr="0041278D" w:rsidSect="000C3FDD">
      <w:headerReference w:type="default" r:id="rId19"/>
      <w:pgSz w:w="11906" w:h="16838"/>
      <w:pgMar w:top="1701"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97385" w14:textId="77777777" w:rsidR="006E358E" w:rsidRDefault="006E358E" w:rsidP="006F0869">
      <w:pPr>
        <w:rPr>
          <w:rFonts w:hint="eastAsia"/>
        </w:rPr>
      </w:pPr>
      <w:r>
        <w:separator/>
      </w:r>
    </w:p>
  </w:endnote>
  <w:endnote w:type="continuationSeparator" w:id="0">
    <w:p w14:paraId="6DC73C5D" w14:textId="77777777" w:rsidR="006E358E" w:rsidRDefault="006E358E" w:rsidP="006F08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default"/>
  </w:font>
  <w:font w:name="NSimSun">
    <w:panose1 w:val="02010609030101010101"/>
    <w:charset w:val="86"/>
    <w:family w:val="modern"/>
    <w:pitch w:val="fixed"/>
    <w:sig w:usb0="0000028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2C67A" w14:textId="77777777" w:rsidR="006E358E" w:rsidRDefault="006E358E" w:rsidP="006F0869">
      <w:pPr>
        <w:rPr>
          <w:rFonts w:hint="eastAsia"/>
        </w:rPr>
      </w:pPr>
      <w:r>
        <w:separator/>
      </w:r>
    </w:p>
  </w:footnote>
  <w:footnote w:type="continuationSeparator" w:id="0">
    <w:p w14:paraId="4487886F" w14:textId="77777777" w:rsidR="006E358E" w:rsidRDefault="006E358E" w:rsidP="006F086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341380"/>
      <w:docPartObj>
        <w:docPartGallery w:val="Page Numbers (Top of Page)"/>
        <w:docPartUnique/>
      </w:docPartObj>
    </w:sdtPr>
    <w:sdtEndPr>
      <w:rPr>
        <w:rFonts w:ascii="Times New Roman" w:hAnsi="Times New Roman" w:cs="Times New Roman"/>
        <w:sz w:val="20"/>
        <w:szCs w:val="20"/>
      </w:rPr>
    </w:sdtEndPr>
    <w:sdtContent>
      <w:p w14:paraId="52372C3B" w14:textId="4A1A04ED" w:rsidR="000C3FDD" w:rsidRPr="000C3FDD" w:rsidRDefault="000C3FDD">
        <w:pPr>
          <w:pStyle w:val="Cabealho"/>
          <w:jc w:val="right"/>
          <w:rPr>
            <w:rFonts w:ascii="Times New Roman" w:hAnsi="Times New Roman" w:cs="Times New Roman"/>
            <w:sz w:val="20"/>
            <w:szCs w:val="20"/>
          </w:rPr>
        </w:pPr>
        <w:r w:rsidRPr="000C3FDD">
          <w:rPr>
            <w:rFonts w:ascii="Times New Roman" w:hAnsi="Times New Roman" w:cs="Times New Roman"/>
            <w:sz w:val="20"/>
            <w:szCs w:val="20"/>
          </w:rPr>
          <w:fldChar w:fldCharType="begin"/>
        </w:r>
        <w:r w:rsidRPr="000C3FDD">
          <w:rPr>
            <w:rFonts w:ascii="Times New Roman" w:hAnsi="Times New Roman" w:cs="Times New Roman"/>
            <w:sz w:val="20"/>
            <w:szCs w:val="20"/>
          </w:rPr>
          <w:instrText>PAGE   \* MERGEFORMAT</w:instrText>
        </w:r>
        <w:r w:rsidRPr="000C3FDD">
          <w:rPr>
            <w:rFonts w:ascii="Times New Roman" w:hAnsi="Times New Roman" w:cs="Times New Roman"/>
            <w:sz w:val="20"/>
            <w:szCs w:val="20"/>
          </w:rPr>
          <w:fldChar w:fldCharType="separate"/>
        </w:r>
        <w:r w:rsidRPr="000C3FDD">
          <w:rPr>
            <w:rFonts w:ascii="Times New Roman" w:hAnsi="Times New Roman" w:cs="Times New Roman"/>
            <w:sz w:val="20"/>
            <w:szCs w:val="20"/>
          </w:rPr>
          <w:t>2</w:t>
        </w:r>
        <w:r w:rsidRPr="000C3FDD">
          <w:rPr>
            <w:rFonts w:ascii="Times New Roman" w:hAnsi="Times New Roman" w:cs="Times New Roman"/>
            <w:sz w:val="20"/>
            <w:szCs w:val="20"/>
          </w:rPr>
          <w:fldChar w:fldCharType="end"/>
        </w:r>
      </w:p>
    </w:sdtContent>
  </w:sdt>
  <w:p w14:paraId="57340C1A" w14:textId="77777777" w:rsidR="006411FC" w:rsidRDefault="006411FC">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2A3"/>
    <w:multiLevelType w:val="hybridMultilevel"/>
    <w:tmpl w:val="57CA3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C3"/>
    <w:rsid w:val="000019B1"/>
    <w:rsid w:val="00003277"/>
    <w:rsid w:val="00005D4A"/>
    <w:rsid w:val="00010D26"/>
    <w:rsid w:val="000115F4"/>
    <w:rsid w:val="00012707"/>
    <w:rsid w:val="0001279D"/>
    <w:rsid w:val="00017A33"/>
    <w:rsid w:val="0002054C"/>
    <w:rsid w:val="000227F7"/>
    <w:rsid w:val="0002354A"/>
    <w:rsid w:val="000302E9"/>
    <w:rsid w:val="00030ECA"/>
    <w:rsid w:val="000318E5"/>
    <w:rsid w:val="00031BF8"/>
    <w:rsid w:val="0003283A"/>
    <w:rsid w:val="000336F9"/>
    <w:rsid w:val="00033FC0"/>
    <w:rsid w:val="0003624A"/>
    <w:rsid w:val="00040703"/>
    <w:rsid w:val="00040CE1"/>
    <w:rsid w:val="000418BF"/>
    <w:rsid w:val="000418EE"/>
    <w:rsid w:val="00043690"/>
    <w:rsid w:val="00044D43"/>
    <w:rsid w:val="0004512D"/>
    <w:rsid w:val="00045DAB"/>
    <w:rsid w:val="00046B62"/>
    <w:rsid w:val="00046FEA"/>
    <w:rsid w:val="00052FC1"/>
    <w:rsid w:val="0005519C"/>
    <w:rsid w:val="000553F4"/>
    <w:rsid w:val="00055799"/>
    <w:rsid w:val="00057899"/>
    <w:rsid w:val="00060250"/>
    <w:rsid w:val="000603E0"/>
    <w:rsid w:val="00061CA9"/>
    <w:rsid w:val="00064A23"/>
    <w:rsid w:val="00065EDB"/>
    <w:rsid w:val="00066439"/>
    <w:rsid w:val="00066CBF"/>
    <w:rsid w:val="00067FE7"/>
    <w:rsid w:val="00071F7F"/>
    <w:rsid w:val="00073A36"/>
    <w:rsid w:val="00073CB5"/>
    <w:rsid w:val="00074B7F"/>
    <w:rsid w:val="000763A2"/>
    <w:rsid w:val="000806F0"/>
    <w:rsid w:val="000817C4"/>
    <w:rsid w:val="00081F6F"/>
    <w:rsid w:val="00083A6F"/>
    <w:rsid w:val="0008475B"/>
    <w:rsid w:val="0008634B"/>
    <w:rsid w:val="000907A2"/>
    <w:rsid w:val="00090C77"/>
    <w:rsid w:val="00095E6B"/>
    <w:rsid w:val="000968DF"/>
    <w:rsid w:val="000A2334"/>
    <w:rsid w:val="000A2AF2"/>
    <w:rsid w:val="000A2FEE"/>
    <w:rsid w:val="000A35F4"/>
    <w:rsid w:val="000A439E"/>
    <w:rsid w:val="000A76D6"/>
    <w:rsid w:val="000A7C3C"/>
    <w:rsid w:val="000B166B"/>
    <w:rsid w:val="000B51CD"/>
    <w:rsid w:val="000B6600"/>
    <w:rsid w:val="000C0248"/>
    <w:rsid w:val="000C03DF"/>
    <w:rsid w:val="000C05A3"/>
    <w:rsid w:val="000C26C0"/>
    <w:rsid w:val="000C342E"/>
    <w:rsid w:val="000C3FDD"/>
    <w:rsid w:val="000C5E28"/>
    <w:rsid w:val="000C777F"/>
    <w:rsid w:val="000C7BFF"/>
    <w:rsid w:val="000D06E7"/>
    <w:rsid w:val="000D3EFE"/>
    <w:rsid w:val="000D414F"/>
    <w:rsid w:val="000D538B"/>
    <w:rsid w:val="000D5CE0"/>
    <w:rsid w:val="000E0D74"/>
    <w:rsid w:val="000E119A"/>
    <w:rsid w:val="000E16E2"/>
    <w:rsid w:val="000E1AA1"/>
    <w:rsid w:val="000E1E6A"/>
    <w:rsid w:val="000E2C20"/>
    <w:rsid w:val="000E4800"/>
    <w:rsid w:val="000E500F"/>
    <w:rsid w:val="000E5FF5"/>
    <w:rsid w:val="000E6F64"/>
    <w:rsid w:val="000E71C9"/>
    <w:rsid w:val="000F33C1"/>
    <w:rsid w:val="000F3440"/>
    <w:rsid w:val="000F44F2"/>
    <w:rsid w:val="000F4C71"/>
    <w:rsid w:val="000F7A42"/>
    <w:rsid w:val="00100104"/>
    <w:rsid w:val="00102387"/>
    <w:rsid w:val="0010251E"/>
    <w:rsid w:val="001027C0"/>
    <w:rsid w:val="0010625B"/>
    <w:rsid w:val="001063D2"/>
    <w:rsid w:val="00113548"/>
    <w:rsid w:val="00113599"/>
    <w:rsid w:val="001145B4"/>
    <w:rsid w:val="00114709"/>
    <w:rsid w:val="00114D39"/>
    <w:rsid w:val="00116236"/>
    <w:rsid w:val="001218E8"/>
    <w:rsid w:val="00123137"/>
    <w:rsid w:val="00124FB8"/>
    <w:rsid w:val="00125CBF"/>
    <w:rsid w:val="001276D8"/>
    <w:rsid w:val="00127745"/>
    <w:rsid w:val="00127D76"/>
    <w:rsid w:val="00131CB0"/>
    <w:rsid w:val="0013421D"/>
    <w:rsid w:val="00135451"/>
    <w:rsid w:val="0013745E"/>
    <w:rsid w:val="00137820"/>
    <w:rsid w:val="00140442"/>
    <w:rsid w:val="00142C6F"/>
    <w:rsid w:val="001434D8"/>
    <w:rsid w:val="00145406"/>
    <w:rsid w:val="00150A47"/>
    <w:rsid w:val="0015353B"/>
    <w:rsid w:val="00153E04"/>
    <w:rsid w:val="00155E66"/>
    <w:rsid w:val="001568A4"/>
    <w:rsid w:val="001571F1"/>
    <w:rsid w:val="001573D0"/>
    <w:rsid w:val="00157A51"/>
    <w:rsid w:val="00157E43"/>
    <w:rsid w:val="00162A79"/>
    <w:rsid w:val="001636C6"/>
    <w:rsid w:val="0016448B"/>
    <w:rsid w:val="00170057"/>
    <w:rsid w:val="001705FB"/>
    <w:rsid w:val="00171D19"/>
    <w:rsid w:val="0017368E"/>
    <w:rsid w:val="001738B0"/>
    <w:rsid w:val="0017519A"/>
    <w:rsid w:val="00175874"/>
    <w:rsid w:val="00175B72"/>
    <w:rsid w:val="00175CE6"/>
    <w:rsid w:val="001775DD"/>
    <w:rsid w:val="00177B17"/>
    <w:rsid w:val="00182BAC"/>
    <w:rsid w:val="00183790"/>
    <w:rsid w:val="001846DB"/>
    <w:rsid w:val="0018507B"/>
    <w:rsid w:val="00190BE2"/>
    <w:rsid w:val="00190E00"/>
    <w:rsid w:val="00192CEB"/>
    <w:rsid w:val="001940B0"/>
    <w:rsid w:val="0019496B"/>
    <w:rsid w:val="001A06BF"/>
    <w:rsid w:val="001A11B8"/>
    <w:rsid w:val="001A232D"/>
    <w:rsid w:val="001A2C1E"/>
    <w:rsid w:val="001A3EC0"/>
    <w:rsid w:val="001B0808"/>
    <w:rsid w:val="001B47C0"/>
    <w:rsid w:val="001B4DEA"/>
    <w:rsid w:val="001B508A"/>
    <w:rsid w:val="001B703D"/>
    <w:rsid w:val="001B7679"/>
    <w:rsid w:val="001C03F7"/>
    <w:rsid w:val="001C50AC"/>
    <w:rsid w:val="001C5912"/>
    <w:rsid w:val="001C629A"/>
    <w:rsid w:val="001C6D06"/>
    <w:rsid w:val="001C7384"/>
    <w:rsid w:val="001C7A09"/>
    <w:rsid w:val="001D0599"/>
    <w:rsid w:val="001D15E9"/>
    <w:rsid w:val="001D17EF"/>
    <w:rsid w:val="001D1EC7"/>
    <w:rsid w:val="001D2624"/>
    <w:rsid w:val="001D46CA"/>
    <w:rsid w:val="001D6507"/>
    <w:rsid w:val="001E0DD4"/>
    <w:rsid w:val="001E18FA"/>
    <w:rsid w:val="001E2420"/>
    <w:rsid w:val="001E2BB6"/>
    <w:rsid w:val="001E5D2B"/>
    <w:rsid w:val="001E6B5A"/>
    <w:rsid w:val="001F0531"/>
    <w:rsid w:val="001F747D"/>
    <w:rsid w:val="001F7FA2"/>
    <w:rsid w:val="002015E6"/>
    <w:rsid w:val="00201CB7"/>
    <w:rsid w:val="0020266F"/>
    <w:rsid w:val="00206F43"/>
    <w:rsid w:val="00210CB1"/>
    <w:rsid w:val="002112A4"/>
    <w:rsid w:val="00211883"/>
    <w:rsid w:val="00211B85"/>
    <w:rsid w:val="0021253C"/>
    <w:rsid w:val="00212A2B"/>
    <w:rsid w:val="00213CBA"/>
    <w:rsid w:val="00213F82"/>
    <w:rsid w:val="0021424F"/>
    <w:rsid w:val="002172AE"/>
    <w:rsid w:val="00221C53"/>
    <w:rsid w:val="002226CB"/>
    <w:rsid w:val="00222EAB"/>
    <w:rsid w:val="0022492B"/>
    <w:rsid w:val="002249B6"/>
    <w:rsid w:val="00224CD9"/>
    <w:rsid w:val="00225A4F"/>
    <w:rsid w:val="002311A3"/>
    <w:rsid w:val="00232B82"/>
    <w:rsid w:val="00233CA8"/>
    <w:rsid w:val="00233CD6"/>
    <w:rsid w:val="00235839"/>
    <w:rsid w:val="00235910"/>
    <w:rsid w:val="00236B69"/>
    <w:rsid w:val="002371EA"/>
    <w:rsid w:val="00237CFA"/>
    <w:rsid w:val="002412D7"/>
    <w:rsid w:val="00241673"/>
    <w:rsid w:val="0024288C"/>
    <w:rsid w:val="002429AA"/>
    <w:rsid w:val="002431A8"/>
    <w:rsid w:val="00243401"/>
    <w:rsid w:val="002435C8"/>
    <w:rsid w:val="00243A05"/>
    <w:rsid w:val="00243CD7"/>
    <w:rsid w:val="002466D6"/>
    <w:rsid w:val="00246B80"/>
    <w:rsid w:val="00246BA9"/>
    <w:rsid w:val="0024744B"/>
    <w:rsid w:val="00250309"/>
    <w:rsid w:val="0025066D"/>
    <w:rsid w:val="00250814"/>
    <w:rsid w:val="002514B1"/>
    <w:rsid w:val="00252162"/>
    <w:rsid w:val="00252C97"/>
    <w:rsid w:val="002537F1"/>
    <w:rsid w:val="002541C3"/>
    <w:rsid w:val="0025547D"/>
    <w:rsid w:val="00260303"/>
    <w:rsid w:val="002623F2"/>
    <w:rsid w:val="0026342C"/>
    <w:rsid w:val="002639E4"/>
    <w:rsid w:val="002642CA"/>
    <w:rsid w:val="0026498A"/>
    <w:rsid w:val="0026547A"/>
    <w:rsid w:val="002657A5"/>
    <w:rsid w:val="002666C7"/>
    <w:rsid w:val="00270184"/>
    <w:rsid w:val="00271A40"/>
    <w:rsid w:val="0027478F"/>
    <w:rsid w:val="00274BB7"/>
    <w:rsid w:val="00283480"/>
    <w:rsid w:val="002849EE"/>
    <w:rsid w:val="00285096"/>
    <w:rsid w:val="00285DD3"/>
    <w:rsid w:val="002873B6"/>
    <w:rsid w:val="00287AA1"/>
    <w:rsid w:val="00292ABE"/>
    <w:rsid w:val="002932B3"/>
    <w:rsid w:val="0029333E"/>
    <w:rsid w:val="00293576"/>
    <w:rsid w:val="0029499E"/>
    <w:rsid w:val="00294C8B"/>
    <w:rsid w:val="00294D3B"/>
    <w:rsid w:val="002969AB"/>
    <w:rsid w:val="0029794F"/>
    <w:rsid w:val="00297CEE"/>
    <w:rsid w:val="002A083D"/>
    <w:rsid w:val="002A15E0"/>
    <w:rsid w:val="002A4E15"/>
    <w:rsid w:val="002A4EE1"/>
    <w:rsid w:val="002A5972"/>
    <w:rsid w:val="002A72D2"/>
    <w:rsid w:val="002A7A21"/>
    <w:rsid w:val="002B0177"/>
    <w:rsid w:val="002B1A36"/>
    <w:rsid w:val="002B27EF"/>
    <w:rsid w:val="002B2E66"/>
    <w:rsid w:val="002B3CFA"/>
    <w:rsid w:val="002B4107"/>
    <w:rsid w:val="002B5CB6"/>
    <w:rsid w:val="002B69B4"/>
    <w:rsid w:val="002B7244"/>
    <w:rsid w:val="002C6B98"/>
    <w:rsid w:val="002C6F40"/>
    <w:rsid w:val="002C78C4"/>
    <w:rsid w:val="002D2D52"/>
    <w:rsid w:val="002D3877"/>
    <w:rsid w:val="002D4ED5"/>
    <w:rsid w:val="002E064A"/>
    <w:rsid w:val="002E0A0D"/>
    <w:rsid w:val="002E2CFE"/>
    <w:rsid w:val="002E64B9"/>
    <w:rsid w:val="002E6BEC"/>
    <w:rsid w:val="002E7AE1"/>
    <w:rsid w:val="002F1FAA"/>
    <w:rsid w:val="002F278D"/>
    <w:rsid w:val="002F2E89"/>
    <w:rsid w:val="002F3B63"/>
    <w:rsid w:val="002F4AE6"/>
    <w:rsid w:val="002F7308"/>
    <w:rsid w:val="002F7390"/>
    <w:rsid w:val="00300AD5"/>
    <w:rsid w:val="003014B4"/>
    <w:rsid w:val="00301841"/>
    <w:rsid w:val="0030217E"/>
    <w:rsid w:val="00302BF1"/>
    <w:rsid w:val="00303BDD"/>
    <w:rsid w:val="00304227"/>
    <w:rsid w:val="00305559"/>
    <w:rsid w:val="00305A76"/>
    <w:rsid w:val="003067CD"/>
    <w:rsid w:val="00306B08"/>
    <w:rsid w:val="00310CC3"/>
    <w:rsid w:val="00312312"/>
    <w:rsid w:val="00313BC1"/>
    <w:rsid w:val="0031468E"/>
    <w:rsid w:val="003170B9"/>
    <w:rsid w:val="00317960"/>
    <w:rsid w:val="00317A1C"/>
    <w:rsid w:val="003232EA"/>
    <w:rsid w:val="00324370"/>
    <w:rsid w:val="0032510D"/>
    <w:rsid w:val="00326065"/>
    <w:rsid w:val="00326BB7"/>
    <w:rsid w:val="003273C1"/>
    <w:rsid w:val="00327E85"/>
    <w:rsid w:val="003303A2"/>
    <w:rsid w:val="00330459"/>
    <w:rsid w:val="00335584"/>
    <w:rsid w:val="00340316"/>
    <w:rsid w:val="003435E2"/>
    <w:rsid w:val="003464EA"/>
    <w:rsid w:val="00347C92"/>
    <w:rsid w:val="00350AAA"/>
    <w:rsid w:val="00351567"/>
    <w:rsid w:val="00355567"/>
    <w:rsid w:val="00355E18"/>
    <w:rsid w:val="00356977"/>
    <w:rsid w:val="003578F1"/>
    <w:rsid w:val="00357C17"/>
    <w:rsid w:val="00362155"/>
    <w:rsid w:val="00363B93"/>
    <w:rsid w:val="0036627A"/>
    <w:rsid w:val="00366F95"/>
    <w:rsid w:val="00374942"/>
    <w:rsid w:val="00374E7D"/>
    <w:rsid w:val="00376DDF"/>
    <w:rsid w:val="00376FEB"/>
    <w:rsid w:val="0037718E"/>
    <w:rsid w:val="00380961"/>
    <w:rsid w:val="00381F3D"/>
    <w:rsid w:val="00384DFD"/>
    <w:rsid w:val="00386D75"/>
    <w:rsid w:val="0038738C"/>
    <w:rsid w:val="00391213"/>
    <w:rsid w:val="00391631"/>
    <w:rsid w:val="0039447A"/>
    <w:rsid w:val="003953E6"/>
    <w:rsid w:val="00395711"/>
    <w:rsid w:val="0039626E"/>
    <w:rsid w:val="003A04F8"/>
    <w:rsid w:val="003A1309"/>
    <w:rsid w:val="003A1C10"/>
    <w:rsid w:val="003A2023"/>
    <w:rsid w:val="003A5C64"/>
    <w:rsid w:val="003A75C1"/>
    <w:rsid w:val="003B49C8"/>
    <w:rsid w:val="003B49CA"/>
    <w:rsid w:val="003C14FB"/>
    <w:rsid w:val="003C2C9D"/>
    <w:rsid w:val="003C39D3"/>
    <w:rsid w:val="003C46CD"/>
    <w:rsid w:val="003C50E7"/>
    <w:rsid w:val="003C5691"/>
    <w:rsid w:val="003C60B0"/>
    <w:rsid w:val="003C6D4B"/>
    <w:rsid w:val="003C7058"/>
    <w:rsid w:val="003C7627"/>
    <w:rsid w:val="003D2405"/>
    <w:rsid w:val="003D2CF9"/>
    <w:rsid w:val="003D4532"/>
    <w:rsid w:val="003D4A3C"/>
    <w:rsid w:val="003D4B67"/>
    <w:rsid w:val="003D5609"/>
    <w:rsid w:val="003D571E"/>
    <w:rsid w:val="003D582E"/>
    <w:rsid w:val="003D6195"/>
    <w:rsid w:val="003D6EAB"/>
    <w:rsid w:val="003D7411"/>
    <w:rsid w:val="003E1694"/>
    <w:rsid w:val="003E2549"/>
    <w:rsid w:val="003E4081"/>
    <w:rsid w:val="003E6843"/>
    <w:rsid w:val="003F08B7"/>
    <w:rsid w:val="003F162D"/>
    <w:rsid w:val="003F2CB7"/>
    <w:rsid w:val="003F553C"/>
    <w:rsid w:val="003F7A3A"/>
    <w:rsid w:val="004024DB"/>
    <w:rsid w:val="00403D9F"/>
    <w:rsid w:val="00403F8D"/>
    <w:rsid w:val="00405A69"/>
    <w:rsid w:val="00405E15"/>
    <w:rsid w:val="00410F1B"/>
    <w:rsid w:val="0041278D"/>
    <w:rsid w:val="004150DA"/>
    <w:rsid w:val="0041748E"/>
    <w:rsid w:val="00421F32"/>
    <w:rsid w:val="00423629"/>
    <w:rsid w:val="00423BD4"/>
    <w:rsid w:val="00427A18"/>
    <w:rsid w:val="00427E3B"/>
    <w:rsid w:val="004303D1"/>
    <w:rsid w:val="004308A4"/>
    <w:rsid w:val="00430E8E"/>
    <w:rsid w:val="00430F79"/>
    <w:rsid w:val="0043128E"/>
    <w:rsid w:val="0043308F"/>
    <w:rsid w:val="00434480"/>
    <w:rsid w:val="00434E9F"/>
    <w:rsid w:val="00435573"/>
    <w:rsid w:val="0043713F"/>
    <w:rsid w:val="00441D9A"/>
    <w:rsid w:val="00442B7F"/>
    <w:rsid w:val="0044453D"/>
    <w:rsid w:val="0044476C"/>
    <w:rsid w:val="00444E6F"/>
    <w:rsid w:val="00450066"/>
    <w:rsid w:val="004503DA"/>
    <w:rsid w:val="0045139B"/>
    <w:rsid w:val="0045255D"/>
    <w:rsid w:val="0045273B"/>
    <w:rsid w:val="00454794"/>
    <w:rsid w:val="00461069"/>
    <w:rsid w:val="0046160B"/>
    <w:rsid w:val="00462D03"/>
    <w:rsid w:val="00462EE3"/>
    <w:rsid w:val="0046357F"/>
    <w:rsid w:val="0046493C"/>
    <w:rsid w:val="004649B6"/>
    <w:rsid w:val="00465817"/>
    <w:rsid w:val="00465857"/>
    <w:rsid w:val="00470442"/>
    <w:rsid w:val="0047119C"/>
    <w:rsid w:val="0047173D"/>
    <w:rsid w:val="004738F2"/>
    <w:rsid w:val="00474A1E"/>
    <w:rsid w:val="00474B6E"/>
    <w:rsid w:val="00476498"/>
    <w:rsid w:val="00476EDF"/>
    <w:rsid w:val="00477743"/>
    <w:rsid w:val="00477CD2"/>
    <w:rsid w:val="004816B6"/>
    <w:rsid w:val="00483F22"/>
    <w:rsid w:val="00484D86"/>
    <w:rsid w:val="00486AFC"/>
    <w:rsid w:val="0049352A"/>
    <w:rsid w:val="004936A8"/>
    <w:rsid w:val="004942D4"/>
    <w:rsid w:val="00495411"/>
    <w:rsid w:val="00497693"/>
    <w:rsid w:val="004977EE"/>
    <w:rsid w:val="004A1DD3"/>
    <w:rsid w:val="004A324D"/>
    <w:rsid w:val="004A3916"/>
    <w:rsid w:val="004C0177"/>
    <w:rsid w:val="004C43E6"/>
    <w:rsid w:val="004C52A7"/>
    <w:rsid w:val="004C75B4"/>
    <w:rsid w:val="004C7C49"/>
    <w:rsid w:val="004D16DD"/>
    <w:rsid w:val="004D1B4B"/>
    <w:rsid w:val="004D2082"/>
    <w:rsid w:val="004D44D7"/>
    <w:rsid w:val="004D5150"/>
    <w:rsid w:val="004E03F0"/>
    <w:rsid w:val="004E34BF"/>
    <w:rsid w:val="004E3883"/>
    <w:rsid w:val="004E389F"/>
    <w:rsid w:val="004E3B1F"/>
    <w:rsid w:val="004E711B"/>
    <w:rsid w:val="004E7BBB"/>
    <w:rsid w:val="004F0DBA"/>
    <w:rsid w:val="004F0F77"/>
    <w:rsid w:val="004F2865"/>
    <w:rsid w:val="004F2EA1"/>
    <w:rsid w:val="004F3A3F"/>
    <w:rsid w:val="004F4E82"/>
    <w:rsid w:val="004F54AE"/>
    <w:rsid w:val="004F66F8"/>
    <w:rsid w:val="00501BAE"/>
    <w:rsid w:val="00504850"/>
    <w:rsid w:val="005054C8"/>
    <w:rsid w:val="005057A6"/>
    <w:rsid w:val="005115D9"/>
    <w:rsid w:val="00512AA5"/>
    <w:rsid w:val="00513185"/>
    <w:rsid w:val="00513872"/>
    <w:rsid w:val="005143DE"/>
    <w:rsid w:val="005202B8"/>
    <w:rsid w:val="00520999"/>
    <w:rsid w:val="00520F2F"/>
    <w:rsid w:val="0052119E"/>
    <w:rsid w:val="00527191"/>
    <w:rsid w:val="00527DDA"/>
    <w:rsid w:val="00531A20"/>
    <w:rsid w:val="005336EF"/>
    <w:rsid w:val="00543B2F"/>
    <w:rsid w:val="00543DA8"/>
    <w:rsid w:val="00543F99"/>
    <w:rsid w:val="0054420C"/>
    <w:rsid w:val="005472EF"/>
    <w:rsid w:val="005476AF"/>
    <w:rsid w:val="0055119A"/>
    <w:rsid w:val="005549C4"/>
    <w:rsid w:val="00554D78"/>
    <w:rsid w:val="00555D04"/>
    <w:rsid w:val="00555D80"/>
    <w:rsid w:val="005613EF"/>
    <w:rsid w:val="00561F2E"/>
    <w:rsid w:val="005621C4"/>
    <w:rsid w:val="005624E4"/>
    <w:rsid w:val="005625D3"/>
    <w:rsid w:val="00563459"/>
    <w:rsid w:val="0056356A"/>
    <w:rsid w:val="005636F1"/>
    <w:rsid w:val="0056370A"/>
    <w:rsid w:val="00570BDA"/>
    <w:rsid w:val="00572A9A"/>
    <w:rsid w:val="0057410B"/>
    <w:rsid w:val="00575317"/>
    <w:rsid w:val="00582C07"/>
    <w:rsid w:val="0058329E"/>
    <w:rsid w:val="00590682"/>
    <w:rsid w:val="00590FFA"/>
    <w:rsid w:val="00591307"/>
    <w:rsid w:val="0059551C"/>
    <w:rsid w:val="00595FAA"/>
    <w:rsid w:val="00596922"/>
    <w:rsid w:val="0059695D"/>
    <w:rsid w:val="00597AB7"/>
    <w:rsid w:val="005A1883"/>
    <w:rsid w:val="005A2007"/>
    <w:rsid w:val="005A22F6"/>
    <w:rsid w:val="005A2C94"/>
    <w:rsid w:val="005A3024"/>
    <w:rsid w:val="005A552B"/>
    <w:rsid w:val="005A60BB"/>
    <w:rsid w:val="005A72E9"/>
    <w:rsid w:val="005A751C"/>
    <w:rsid w:val="005B1953"/>
    <w:rsid w:val="005B214A"/>
    <w:rsid w:val="005B5958"/>
    <w:rsid w:val="005C1EAF"/>
    <w:rsid w:val="005C38BE"/>
    <w:rsid w:val="005C45E2"/>
    <w:rsid w:val="005C5261"/>
    <w:rsid w:val="005C5ABE"/>
    <w:rsid w:val="005C5E2B"/>
    <w:rsid w:val="005C6CD0"/>
    <w:rsid w:val="005C6F6A"/>
    <w:rsid w:val="005C7D1E"/>
    <w:rsid w:val="005D016F"/>
    <w:rsid w:val="005D0FC6"/>
    <w:rsid w:val="005D2A6F"/>
    <w:rsid w:val="005D4C7D"/>
    <w:rsid w:val="005D71E0"/>
    <w:rsid w:val="005D7A5F"/>
    <w:rsid w:val="005E096E"/>
    <w:rsid w:val="005E1876"/>
    <w:rsid w:val="005E466F"/>
    <w:rsid w:val="005E4BC7"/>
    <w:rsid w:val="005E4FE2"/>
    <w:rsid w:val="005E7AA1"/>
    <w:rsid w:val="005F06D3"/>
    <w:rsid w:val="005F2802"/>
    <w:rsid w:val="005F5A23"/>
    <w:rsid w:val="005F6004"/>
    <w:rsid w:val="006004A3"/>
    <w:rsid w:val="006006E2"/>
    <w:rsid w:val="006015FB"/>
    <w:rsid w:val="0060284B"/>
    <w:rsid w:val="0060329B"/>
    <w:rsid w:val="00604AED"/>
    <w:rsid w:val="00605063"/>
    <w:rsid w:val="00607A1D"/>
    <w:rsid w:val="00607C5B"/>
    <w:rsid w:val="006102D6"/>
    <w:rsid w:val="00615ED2"/>
    <w:rsid w:val="006177AD"/>
    <w:rsid w:val="00617C8A"/>
    <w:rsid w:val="00620882"/>
    <w:rsid w:val="00620E63"/>
    <w:rsid w:val="00621588"/>
    <w:rsid w:val="00621792"/>
    <w:rsid w:val="00623AD4"/>
    <w:rsid w:val="00623CE3"/>
    <w:rsid w:val="00624772"/>
    <w:rsid w:val="006251C7"/>
    <w:rsid w:val="00626C96"/>
    <w:rsid w:val="00627B3B"/>
    <w:rsid w:val="006305DD"/>
    <w:rsid w:val="0063088A"/>
    <w:rsid w:val="0063177A"/>
    <w:rsid w:val="00631AC4"/>
    <w:rsid w:val="00631B58"/>
    <w:rsid w:val="006344E2"/>
    <w:rsid w:val="00636592"/>
    <w:rsid w:val="00636C4A"/>
    <w:rsid w:val="00640105"/>
    <w:rsid w:val="00640348"/>
    <w:rsid w:val="006407E6"/>
    <w:rsid w:val="006411FC"/>
    <w:rsid w:val="00644BB7"/>
    <w:rsid w:val="00645B53"/>
    <w:rsid w:val="00646773"/>
    <w:rsid w:val="0064787D"/>
    <w:rsid w:val="00650CE5"/>
    <w:rsid w:val="0065259A"/>
    <w:rsid w:val="00654D64"/>
    <w:rsid w:val="0065505F"/>
    <w:rsid w:val="00655E98"/>
    <w:rsid w:val="0065754B"/>
    <w:rsid w:val="00661171"/>
    <w:rsid w:val="00661461"/>
    <w:rsid w:val="00662724"/>
    <w:rsid w:val="006628DA"/>
    <w:rsid w:val="00662999"/>
    <w:rsid w:val="00663451"/>
    <w:rsid w:val="006664DA"/>
    <w:rsid w:val="0066699A"/>
    <w:rsid w:val="00666FAF"/>
    <w:rsid w:val="00667B2B"/>
    <w:rsid w:val="00670932"/>
    <w:rsid w:val="00670E69"/>
    <w:rsid w:val="00671289"/>
    <w:rsid w:val="00674256"/>
    <w:rsid w:val="0068152A"/>
    <w:rsid w:val="00681B44"/>
    <w:rsid w:val="0068366E"/>
    <w:rsid w:val="00684142"/>
    <w:rsid w:val="00686425"/>
    <w:rsid w:val="00686AB2"/>
    <w:rsid w:val="00687171"/>
    <w:rsid w:val="00687EC3"/>
    <w:rsid w:val="006918E0"/>
    <w:rsid w:val="00692D98"/>
    <w:rsid w:val="00695937"/>
    <w:rsid w:val="006A0D73"/>
    <w:rsid w:val="006A4476"/>
    <w:rsid w:val="006A4EFE"/>
    <w:rsid w:val="006A7ACF"/>
    <w:rsid w:val="006B0BFD"/>
    <w:rsid w:val="006B10CF"/>
    <w:rsid w:val="006B2DDF"/>
    <w:rsid w:val="006B3DFA"/>
    <w:rsid w:val="006B4A68"/>
    <w:rsid w:val="006B4DC1"/>
    <w:rsid w:val="006B71BA"/>
    <w:rsid w:val="006C0DAE"/>
    <w:rsid w:val="006C1CEF"/>
    <w:rsid w:val="006C277A"/>
    <w:rsid w:val="006C3E8C"/>
    <w:rsid w:val="006C43AB"/>
    <w:rsid w:val="006C46F7"/>
    <w:rsid w:val="006C64B4"/>
    <w:rsid w:val="006C749A"/>
    <w:rsid w:val="006D0545"/>
    <w:rsid w:val="006D2D07"/>
    <w:rsid w:val="006D4B76"/>
    <w:rsid w:val="006D4FD8"/>
    <w:rsid w:val="006D761E"/>
    <w:rsid w:val="006D7664"/>
    <w:rsid w:val="006D7D3B"/>
    <w:rsid w:val="006E0361"/>
    <w:rsid w:val="006E1E01"/>
    <w:rsid w:val="006E253A"/>
    <w:rsid w:val="006E358E"/>
    <w:rsid w:val="006E44CE"/>
    <w:rsid w:val="006E49E4"/>
    <w:rsid w:val="006E7561"/>
    <w:rsid w:val="006F0536"/>
    <w:rsid w:val="006F0869"/>
    <w:rsid w:val="006F5279"/>
    <w:rsid w:val="006F65C5"/>
    <w:rsid w:val="006F6A2D"/>
    <w:rsid w:val="006F6A49"/>
    <w:rsid w:val="006F7C92"/>
    <w:rsid w:val="00702D80"/>
    <w:rsid w:val="007030AF"/>
    <w:rsid w:val="00704512"/>
    <w:rsid w:val="00705F47"/>
    <w:rsid w:val="0070653A"/>
    <w:rsid w:val="007114C6"/>
    <w:rsid w:val="00711F0E"/>
    <w:rsid w:val="00712B55"/>
    <w:rsid w:val="00712F70"/>
    <w:rsid w:val="00713D28"/>
    <w:rsid w:val="007179CE"/>
    <w:rsid w:val="0072253D"/>
    <w:rsid w:val="007260B5"/>
    <w:rsid w:val="00727360"/>
    <w:rsid w:val="00733097"/>
    <w:rsid w:val="007341BD"/>
    <w:rsid w:val="00735329"/>
    <w:rsid w:val="00735D5A"/>
    <w:rsid w:val="0073683E"/>
    <w:rsid w:val="007373D6"/>
    <w:rsid w:val="0074190A"/>
    <w:rsid w:val="00741F2E"/>
    <w:rsid w:val="0074682B"/>
    <w:rsid w:val="00746F27"/>
    <w:rsid w:val="007479B0"/>
    <w:rsid w:val="00750189"/>
    <w:rsid w:val="0075043E"/>
    <w:rsid w:val="00751BBA"/>
    <w:rsid w:val="00752C34"/>
    <w:rsid w:val="0075380C"/>
    <w:rsid w:val="007561DF"/>
    <w:rsid w:val="0075699D"/>
    <w:rsid w:val="00757A61"/>
    <w:rsid w:val="00757DFD"/>
    <w:rsid w:val="007604B3"/>
    <w:rsid w:val="00761059"/>
    <w:rsid w:val="0076113A"/>
    <w:rsid w:val="00763F0E"/>
    <w:rsid w:val="00764735"/>
    <w:rsid w:val="00766507"/>
    <w:rsid w:val="00766C74"/>
    <w:rsid w:val="0076740D"/>
    <w:rsid w:val="00772629"/>
    <w:rsid w:val="007740DC"/>
    <w:rsid w:val="007762DB"/>
    <w:rsid w:val="0077641D"/>
    <w:rsid w:val="00777DC3"/>
    <w:rsid w:val="00780FCB"/>
    <w:rsid w:val="0078155B"/>
    <w:rsid w:val="0078208D"/>
    <w:rsid w:val="007822FA"/>
    <w:rsid w:val="00782BE4"/>
    <w:rsid w:val="00783E49"/>
    <w:rsid w:val="00783ED5"/>
    <w:rsid w:val="007908F1"/>
    <w:rsid w:val="007911E7"/>
    <w:rsid w:val="007923ED"/>
    <w:rsid w:val="00792D0F"/>
    <w:rsid w:val="0079408D"/>
    <w:rsid w:val="00795D1B"/>
    <w:rsid w:val="00796E21"/>
    <w:rsid w:val="007973BC"/>
    <w:rsid w:val="00797DF0"/>
    <w:rsid w:val="007A005C"/>
    <w:rsid w:val="007A17E0"/>
    <w:rsid w:val="007A1E76"/>
    <w:rsid w:val="007A493B"/>
    <w:rsid w:val="007A6352"/>
    <w:rsid w:val="007B08A6"/>
    <w:rsid w:val="007B0CB8"/>
    <w:rsid w:val="007B0CE1"/>
    <w:rsid w:val="007B1F81"/>
    <w:rsid w:val="007B275F"/>
    <w:rsid w:val="007B4466"/>
    <w:rsid w:val="007B48E5"/>
    <w:rsid w:val="007B4999"/>
    <w:rsid w:val="007B4AAC"/>
    <w:rsid w:val="007B726C"/>
    <w:rsid w:val="007C0DD0"/>
    <w:rsid w:val="007C0E89"/>
    <w:rsid w:val="007C2951"/>
    <w:rsid w:val="007C3D8C"/>
    <w:rsid w:val="007C3F37"/>
    <w:rsid w:val="007C4DD4"/>
    <w:rsid w:val="007D1DBB"/>
    <w:rsid w:val="007D2A69"/>
    <w:rsid w:val="007D456E"/>
    <w:rsid w:val="007E08A3"/>
    <w:rsid w:val="007E0C73"/>
    <w:rsid w:val="007E3018"/>
    <w:rsid w:val="007E3F68"/>
    <w:rsid w:val="007E58B8"/>
    <w:rsid w:val="007E63E2"/>
    <w:rsid w:val="007E7676"/>
    <w:rsid w:val="007E77AF"/>
    <w:rsid w:val="007F01D2"/>
    <w:rsid w:val="007F0998"/>
    <w:rsid w:val="007F30C0"/>
    <w:rsid w:val="007F3230"/>
    <w:rsid w:val="007F382C"/>
    <w:rsid w:val="007F3B4A"/>
    <w:rsid w:val="007F3F82"/>
    <w:rsid w:val="007F43E6"/>
    <w:rsid w:val="007F5385"/>
    <w:rsid w:val="007F727A"/>
    <w:rsid w:val="00800959"/>
    <w:rsid w:val="00800DF1"/>
    <w:rsid w:val="00802D79"/>
    <w:rsid w:val="00807CA8"/>
    <w:rsid w:val="00813A95"/>
    <w:rsid w:val="00813FDE"/>
    <w:rsid w:val="00814504"/>
    <w:rsid w:val="00822261"/>
    <w:rsid w:val="00825F3B"/>
    <w:rsid w:val="008272C4"/>
    <w:rsid w:val="008311D1"/>
    <w:rsid w:val="00833C67"/>
    <w:rsid w:val="00837C30"/>
    <w:rsid w:val="008406FA"/>
    <w:rsid w:val="00843116"/>
    <w:rsid w:val="008445D2"/>
    <w:rsid w:val="0084482F"/>
    <w:rsid w:val="00845149"/>
    <w:rsid w:val="00845191"/>
    <w:rsid w:val="008455D1"/>
    <w:rsid w:val="00850BD3"/>
    <w:rsid w:val="00854333"/>
    <w:rsid w:val="00854384"/>
    <w:rsid w:val="00856E4D"/>
    <w:rsid w:val="0085706D"/>
    <w:rsid w:val="0085759B"/>
    <w:rsid w:val="00860BCA"/>
    <w:rsid w:val="00860DAC"/>
    <w:rsid w:val="008648F9"/>
    <w:rsid w:val="00864C51"/>
    <w:rsid w:val="008656C5"/>
    <w:rsid w:val="0086583D"/>
    <w:rsid w:val="008659E3"/>
    <w:rsid w:val="00865ADB"/>
    <w:rsid w:val="00867E25"/>
    <w:rsid w:val="00870440"/>
    <w:rsid w:val="00871DB5"/>
    <w:rsid w:val="00871E6C"/>
    <w:rsid w:val="008723E0"/>
    <w:rsid w:val="00873B4C"/>
    <w:rsid w:val="00875A54"/>
    <w:rsid w:val="00883134"/>
    <w:rsid w:val="0088701D"/>
    <w:rsid w:val="00891076"/>
    <w:rsid w:val="00891835"/>
    <w:rsid w:val="00891C84"/>
    <w:rsid w:val="00895944"/>
    <w:rsid w:val="00895CCF"/>
    <w:rsid w:val="008A0185"/>
    <w:rsid w:val="008A0476"/>
    <w:rsid w:val="008A09E0"/>
    <w:rsid w:val="008A1D88"/>
    <w:rsid w:val="008A292A"/>
    <w:rsid w:val="008A40F5"/>
    <w:rsid w:val="008A4C3D"/>
    <w:rsid w:val="008A52BD"/>
    <w:rsid w:val="008B18CD"/>
    <w:rsid w:val="008B2C57"/>
    <w:rsid w:val="008C16CB"/>
    <w:rsid w:val="008C1D29"/>
    <w:rsid w:val="008C4051"/>
    <w:rsid w:val="008C4BCB"/>
    <w:rsid w:val="008C528A"/>
    <w:rsid w:val="008C71E9"/>
    <w:rsid w:val="008D0BC9"/>
    <w:rsid w:val="008D1E7C"/>
    <w:rsid w:val="008D28A3"/>
    <w:rsid w:val="008D3F68"/>
    <w:rsid w:val="008D46D2"/>
    <w:rsid w:val="008D5258"/>
    <w:rsid w:val="008D6232"/>
    <w:rsid w:val="008D6613"/>
    <w:rsid w:val="008D7026"/>
    <w:rsid w:val="008E055A"/>
    <w:rsid w:val="008E4D89"/>
    <w:rsid w:val="008E4E31"/>
    <w:rsid w:val="008E4E72"/>
    <w:rsid w:val="008E61BE"/>
    <w:rsid w:val="008E6F3C"/>
    <w:rsid w:val="008E7199"/>
    <w:rsid w:val="008F3BC8"/>
    <w:rsid w:val="008F44DB"/>
    <w:rsid w:val="008F5605"/>
    <w:rsid w:val="008F776A"/>
    <w:rsid w:val="00900BEB"/>
    <w:rsid w:val="00901926"/>
    <w:rsid w:val="00901B51"/>
    <w:rsid w:val="00901C27"/>
    <w:rsid w:val="009025C3"/>
    <w:rsid w:val="00903196"/>
    <w:rsid w:val="00903FB9"/>
    <w:rsid w:val="00904292"/>
    <w:rsid w:val="009049D7"/>
    <w:rsid w:val="00906555"/>
    <w:rsid w:val="009068C5"/>
    <w:rsid w:val="00907521"/>
    <w:rsid w:val="0090776B"/>
    <w:rsid w:val="00907B24"/>
    <w:rsid w:val="00907D09"/>
    <w:rsid w:val="0091129F"/>
    <w:rsid w:val="00911675"/>
    <w:rsid w:val="00912838"/>
    <w:rsid w:val="00913504"/>
    <w:rsid w:val="00915EDF"/>
    <w:rsid w:val="00915F69"/>
    <w:rsid w:val="009170C5"/>
    <w:rsid w:val="00917F73"/>
    <w:rsid w:val="0092190B"/>
    <w:rsid w:val="00923514"/>
    <w:rsid w:val="00923AEF"/>
    <w:rsid w:val="0092455D"/>
    <w:rsid w:val="009249C8"/>
    <w:rsid w:val="00931CBC"/>
    <w:rsid w:val="009322BB"/>
    <w:rsid w:val="009336F4"/>
    <w:rsid w:val="0093594B"/>
    <w:rsid w:val="00940CA9"/>
    <w:rsid w:val="00941908"/>
    <w:rsid w:val="00941B75"/>
    <w:rsid w:val="0094242F"/>
    <w:rsid w:val="0094292F"/>
    <w:rsid w:val="009430A9"/>
    <w:rsid w:val="009475F2"/>
    <w:rsid w:val="0094763A"/>
    <w:rsid w:val="00947EBE"/>
    <w:rsid w:val="00951063"/>
    <w:rsid w:val="00951738"/>
    <w:rsid w:val="00952014"/>
    <w:rsid w:val="00952744"/>
    <w:rsid w:val="00952AF9"/>
    <w:rsid w:val="00953050"/>
    <w:rsid w:val="00953E25"/>
    <w:rsid w:val="009562F8"/>
    <w:rsid w:val="00957FBD"/>
    <w:rsid w:val="00961CA6"/>
    <w:rsid w:val="0096283B"/>
    <w:rsid w:val="009632C3"/>
    <w:rsid w:val="00963357"/>
    <w:rsid w:val="00967576"/>
    <w:rsid w:val="00971103"/>
    <w:rsid w:val="00976B90"/>
    <w:rsid w:val="00977ECC"/>
    <w:rsid w:val="00980D93"/>
    <w:rsid w:val="00982441"/>
    <w:rsid w:val="009827B5"/>
    <w:rsid w:val="009847C8"/>
    <w:rsid w:val="009862D6"/>
    <w:rsid w:val="00986411"/>
    <w:rsid w:val="00987995"/>
    <w:rsid w:val="00990F1C"/>
    <w:rsid w:val="009919B7"/>
    <w:rsid w:val="0099251F"/>
    <w:rsid w:val="009A1660"/>
    <w:rsid w:val="009A1EE4"/>
    <w:rsid w:val="009A2FFF"/>
    <w:rsid w:val="009A3468"/>
    <w:rsid w:val="009A54A1"/>
    <w:rsid w:val="009A60E2"/>
    <w:rsid w:val="009B0061"/>
    <w:rsid w:val="009B023F"/>
    <w:rsid w:val="009B1777"/>
    <w:rsid w:val="009B1D52"/>
    <w:rsid w:val="009B3B24"/>
    <w:rsid w:val="009B3E10"/>
    <w:rsid w:val="009B5104"/>
    <w:rsid w:val="009B5921"/>
    <w:rsid w:val="009B5B0B"/>
    <w:rsid w:val="009B6610"/>
    <w:rsid w:val="009B75B1"/>
    <w:rsid w:val="009C0353"/>
    <w:rsid w:val="009C468A"/>
    <w:rsid w:val="009C46D8"/>
    <w:rsid w:val="009C4B8B"/>
    <w:rsid w:val="009C5197"/>
    <w:rsid w:val="009C679E"/>
    <w:rsid w:val="009C73EA"/>
    <w:rsid w:val="009C7DAF"/>
    <w:rsid w:val="009C7F66"/>
    <w:rsid w:val="009D0CB6"/>
    <w:rsid w:val="009D22A9"/>
    <w:rsid w:val="009D3A07"/>
    <w:rsid w:val="009D3DC3"/>
    <w:rsid w:val="009D5D63"/>
    <w:rsid w:val="009D62F8"/>
    <w:rsid w:val="009D67FA"/>
    <w:rsid w:val="009E0910"/>
    <w:rsid w:val="009E093E"/>
    <w:rsid w:val="009E0D4E"/>
    <w:rsid w:val="009E2A76"/>
    <w:rsid w:val="009E3AEC"/>
    <w:rsid w:val="009E5BDB"/>
    <w:rsid w:val="009E677E"/>
    <w:rsid w:val="009F18E8"/>
    <w:rsid w:val="009F551F"/>
    <w:rsid w:val="009F7629"/>
    <w:rsid w:val="009F7837"/>
    <w:rsid w:val="00A00195"/>
    <w:rsid w:val="00A0047C"/>
    <w:rsid w:val="00A04A5C"/>
    <w:rsid w:val="00A05462"/>
    <w:rsid w:val="00A0607D"/>
    <w:rsid w:val="00A1021A"/>
    <w:rsid w:val="00A11F8E"/>
    <w:rsid w:val="00A146E6"/>
    <w:rsid w:val="00A170EA"/>
    <w:rsid w:val="00A1746A"/>
    <w:rsid w:val="00A21004"/>
    <w:rsid w:val="00A231DA"/>
    <w:rsid w:val="00A236FE"/>
    <w:rsid w:val="00A31126"/>
    <w:rsid w:val="00A33ADD"/>
    <w:rsid w:val="00A3544F"/>
    <w:rsid w:val="00A402EE"/>
    <w:rsid w:val="00A403BC"/>
    <w:rsid w:val="00A40921"/>
    <w:rsid w:val="00A423E4"/>
    <w:rsid w:val="00A43C18"/>
    <w:rsid w:val="00A444E7"/>
    <w:rsid w:val="00A460AD"/>
    <w:rsid w:val="00A46BD3"/>
    <w:rsid w:val="00A50A39"/>
    <w:rsid w:val="00A537E2"/>
    <w:rsid w:val="00A552D2"/>
    <w:rsid w:val="00A562A2"/>
    <w:rsid w:val="00A5697D"/>
    <w:rsid w:val="00A57C89"/>
    <w:rsid w:val="00A6013B"/>
    <w:rsid w:val="00A620EC"/>
    <w:rsid w:val="00A642A8"/>
    <w:rsid w:val="00A6687A"/>
    <w:rsid w:val="00A66FDF"/>
    <w:rsid w:val="00A6769D"/>
    <w:rsid w:val="00A7088F"/>
    <w:rsid w:val="00A71F26"/>
    <w:rsid w:val="00A72FB5"/>
    <w:rsid w:val="00A735CF"/>
    <w:rsid w:val="00A76464"/>
    <w:rsid w:val="00A77CA8"/>
    <w:rsid w:val="00A817B5"/>
    <w:rsid w:val="00A81A11"/>
    <w:rsid w:val="00A81E4C"/>
    <w:rsid w:val="00A82914"/>
    <w:rsid w:val="00A82D77"/>
    <w:rsid w:val="00A866AF"/>
    <w:rsid w:val="00A8730D"/>
    <w:rsid w:val="00A9035A"/>
    <w:rsid w:val="00A921FA"/>
    <w:rsid w:val="00A95701"/>
    <w:rsid w:val="00AA07ED"/>
    <w:rsid w:val="00AA2185"/>
    <w:rsid w:val="00AA25BA"/>
    <w:rsid w:val="00AA410A"/>
    <w:rsid w:val="00AA5A84"/>
    <w:rsid w:val="00AA5D21"/>
    <w:rsid w:val="00AA6B02"/>
    <w:rsid w:val="00AA78E1"/>
    <w:rsid w:val="00AB1389"/>
    <w:rsid w:val="00AB3C67"/>
    <w:rsid w:val="00AC386C"/>
    <w:rsid w:val="00AC53A1"/>
    <w:rsid w:val="00AC593F"/>
    <w:rsid w:val="00AC6825"/>
    <w:rsid w:val="00AD52F9"/>
    <w:rsid w:val="00AD5342"/>
    <w:rsid w:val="00AD5CCF"/>
    <w:rsid w:val="00AD5F7C"/>
    <w:rsid w:val="00AD6035"/>
    <w:rsid w:val="00AD640E"/>
    <w:rsid w:val="00AE0C51"/>
    <w:rsid w:val="00AE11A5"/>
    <w:rsid w:val="00AE24E0"/>
    <w:rsid w:val="00AE369F"/>
    <w:rsid w:val="00AE42C9"/>
    <w:rsid w:val="00AE47D3"/>
    <w:rsid w:val="00AE556F"/>
    <w:rsid w:val="00AE5B58"/>
    <w:rsid w:val="00AE646F"/>
    <w:rsid w:val="00AE7CD5"/>
    <w:rsid w:val="00AF2067"/>
    <w:rsid w:val="00AF207E"/>
    <w:rsid w:val="00AF2A20"/>
    <w:rsid w:val="00AF2CD8"/>
    <w:rsid w:val="00AF45DB"/>
    <w:rsid w:val="00AF61D2"/>
    <w:rsid w:val="00B00B5F"/>
    <w:rsid w:val="00B03D6D"/>
    <w:rsid w:val="00B0486E"/>
    <w:rsid w:val="00B04D38"/>
    <w:rsid w:val="00B05B68"/>
    <w:rsid w:val="00B05D8A"/>
    <w:rsid w:val="00B06097"/>
    <w:rsid w:val="00B0638C"/>
    <w:rsid w:val="00B105A1"/>
    <w:rsid w:val="00B10882"/>
    <w:rsid w:val="00B10C8A"/>
    <w:rsid w:val="00B10E12"/>
    <w:rsid w:val="00B11876"/>
    <w:rsid w:val="00B1450C"/>
    <w:rsid w:val="00B1693B"/>
    <w:rsid w:val="00B16946"/>
    <w:rsid w:val="00B17ECA"/>
    <w:rsid w:val="00B20BD7"/>
    <w:rsid w:val="00B21B9A"/>
    <w:rsid w:val="00B21C65"/>
    <w:rsid w:val="00B24FB6"/>
    <w:rsid w:val="00B25BD3"/>
    <w:rsid w:val="00B26941"/>
    <w:rsid w:val="00B31386"/>
    <w:rsid w:val="00B326D2"/>
    <w:rsid w:val="00B32ABD"/>
    <w:rsid w:val="00B344BD"/>
    <w:rsid w:val="00B34F29"/>
    <w:rsid w:val="00B36FFC"/>
    <w:rsid w:val="00B37691"/>
    <w:rsid w:val="00B41FB4"/>
    <w:rsid w:val="00B422CF"/>
    <w:rsid w:val="00B42B8A"/>
    <w:rsid w:val="00B467FB"/>
    <w:rsid w:val="00B51555"/>
    <w:rsid w:val="00B5292D"/>
    <w:rsid w:val="00B5383F"/>
    <w:rsid w:val="00B53F28"/>
    <w:rsid w:val="00B54835"/>
    <w:rsid w:val="00B54DDE"/>
    <w:rsid w:val="00B56FEC"/>
    <w:rsid w:val="00B57A4E"/>
    <w:rsid w:val="00B60D7B"/>
    <w:rsid w:val="00B62F31"/>
    <w:rsid w:val="00B62F97"/>
    <w:rsid w:val="00B642D5"/>
    <w:rsid w:val="00B64D5F"/>
    <w:rsid w:val="00B67594"/>
    <w:rsid w:val="00B7357B"/>
    <w:rsid w:val="00B74C77"/>
    <w:rsid w:val="00B759BB"/>
    <w:rsid w:val="00B76169"/>
    <w:rsid w:val="00B82E65"/>
    <w:rsid w:val="00B830A0"/>
    <w:rsid w:val="00B83102"/>
    <w:rsid w:val="00B8357C"/>
    <w:rsid w:val="00B840B7"/>
    <w:rsid w:val="00B87594"/>
    <w:rsid w:val="00B87B8A"/>
    <w:rsid w:val="00B91715"/>
    <w:rsid w:val="00B9219B"/>
    <w:rsid w:val="00B93672"/>
    <w:rsid w:val="00B94135"/>
    <w:rsid w:val="00B94D60"/>
    <w:rsid w:val="00B96278"/>
    <w:rsid w:val="00BA20FA"/>
    <w:rsid w:val="00BA2189"/>
    <w:rsid w:val="00BA2583"/>
    <w:rsid w:val="00BA3E9D"/>
    <w:rsid w:val="00BA41CF"/>
    <w:rsid w:val="00BA57C4"/>
    <w:rsid w:val="00BB0F27"/>
    <w:rsid w:val="00BB1498"/>
    <w:rsid w:val="00BB164B"/>
    <w:rsid w:val="00BB43A8"/>
    <w:rsid w:val="00BB4A98"/>
    <w:rsid w:val="00BB56D7"/>
    <w:rsid w:val="00BB57FF"/>
    <w:rsid w:val="00BB6FA7"/>
    <w:rsid w:val="00BB7AD1"/>
    <w:rsid w:val="00BC10FE"/>
    <w:rsid w:val="00BC2059"/>
    <w:rsid w:val="00BC3DA4"/>
    <w:rsid w:val="00BC481F"/>
    <w:rsid w:val="00BC5288"/>
    <w:rsid w:val="00BC5FD3"/>
    <w:rsid w:val="00BC7206"/>
    <w:rsid w:val="00BC7D86"/>
    <w:rsid w:val="00BD0859"/>
    <w:rsid w:val="00BD09C6"/>
    <w:rsid w:val="00BD0E35"/>
    <w:rsid w:val="00BD2C53"/>
    <w:rsid w:val="00BD3FED"/>
    <w:rsid w:val="00BD4DC2"/>
    <w:rsid w:val="00BD528F"/>
    <w:rsid w:val="00BD7200"/>
    <w:rsid w:val="00BD7313"/>
    <w:rsid w:val="00BE1757"/>
    <w:rsid w:val="00BE2149"/>
    <w:rsid w:val="00BE3218"/>
    <w:rsid w:val="00BE38F5"/>
    <w:rsid w:val="00BE4069"/>
    <w:rsid w:val="00BE45B2"/>
    <w:rsid w:val="00BE4E13"/>
    <w:rsid w:val="00BE50F5"/>
    <w:rsid w:val="00BE5B84"/>
    <w:rsid w:val="00BE6A69"/>
    <w:rsid w:val="00BE73B7"/>
    <w:rsid w:val="00BF01FF"/>
    <w:rsid w:val="00BF2B0B"/>
    <w:rsid w:val="00BF43FD"/>
    <w:rsid w:val="00BF45B7"/>
    <w:rsid w:val="00BF6676"/>
    <w:rsid w:val="00BF779F"/>
    <w:rsid w:val="00C008C0"/>
    <w:rsid w:val="00C0315E"/>
    <w:rsid w:val="00C032D5"/>
    <w:rsid w:val="00C058B6"/>
    <w:rsid w:val="00C0597D"/>
    <w:rsid w:val="00C106F5"/>
    <w:rsid w:val="00C1165D"/>
    <w:rsid w:val="00C11A82"/>
    <w:rsid w:val="00C1402E"/>
    <w:rsid w:val="00C14226"/>
    <w:rsid w:val="00C1446D"/>
    <w:rsid w:val="00C16459"/>
    <w:rsid w:val="00C17DB2"/>
    <w:rsid w:val="00C20B2F"/>
    <w:rsid w:val="00C21E41"/>
    <w:rsid w:val="00C2446F"/>
    <w:rsid w:val="00C252F7"/>
    <w:rsid w:val="00C26D8A"/>
    <w:rsid w:val="00C2741F"/>
    <w:rsid w:val="00C311D2"/>
    <w:rsid w:val="00C32420"/>
    <w:rsid w:val="00C32966"/>
    <w:rsid w:val="00C32E26"/>
    <w:rsid w:val="00C35201"/>
    <w:rsid w:val="00C364E2"/>
    <w:rsid w:val="00C36B9E"/>
    <w:rsid w:val="00C37469"/>
    <w:rsid w:val="00C400A1"/>
    <w:rsid w:val="00C4090D"/>
    <w:rsid w:val="00C44C55"/>
    <w:rsid w:val="00C4721A"/>
    <w:rsid w:val="00C479AC"/>
    <w:rsid w:val="00C51072"/>
    <w:rsid w:val="00C510E8"/>
    <w:rsid w:val="00C51967"/>
    <w:rsid w:val="00C52C3D"/>
    <w:rsid w:val="00C530DD"/>
    <w:rsid w:val="00C54E8E"/>
    <w:rsid w:val="00C56FA0"/>
    <w:rsid w:val="00C57822"/>
    <w:rsid w:val="00C6055F"/>
    <w:rsid w:val="00C61AA1"/>
    <w:rsid w:val="00C61F21"/>
    <w:rsid w:val="00C61FB7"/>
    <w:rsid w:val="00C63745"/>
    <w:rsid w:val="00C63E0B"/>
    <w:rsid w:val="00C66456"/>
    <w:rsid w:val="00C71F9F"/>
    <w:rsid w:val="00C72704"/>
    <w:rsid w:val="00C72900"/>
    <w:rsid w:val="00C7467A"/>
    <w:rsid w:val="00C749EB"/>
    <w:rsid w:val="00C75264"/>
    <w:rsid w:val="00C75464"/>
    <w:rsid w:val="00C75F0B"/>
    <w:rsid w:val="00C803CB"/>
    <w:rsid w:val="00C80434"/>
    <w:rsid w:val="00C814EF"/>
    <w:rsid w:val="00C818AA"/>
    <w:rsid w:val="00C823EF"/>
    <w:rsid w:val="00C826AE"/>
    <w:rsid w:val="00C8304B"/>
    <w:rsid w:val="00C83281"/>
    <w:rsid w:val="00C83CA2"/>
    <w:rsid w:val="00C8441A"/>
    <w:rsid w:val="00C85C10"/>
    <w:rsid w:val="00C85D9C"/>
    <w:rsid w:val="00C876E9"/>
    <w:rsid w:val="00C94980"/>
    <w:rsid w:val="00C95940"/>
    <w:rsid w:val="00C95948"/>
    <w:rsid w:val="00C95E61"/>
    <w:rsid w:val="00C96227"/>
    <w:rsid w:val="00C96B21"/>
    <w:rsid w:val="00CA0678"/>
    <w:rsid w:val="00CA135C"/>
    <w:rsid w:val="00CA181E"/>
    <w:rsid w:val="00CA480C"/>
    <w:rsid w:val="00CB1719"/>
    <w:rsid w:val="00CB1829"/>
    <w:rsid w:val="00CB18DD"/>
    <w:rsid w:val="00CB19F6"/>
    <w:rsid w:val="00CB1FFC"/>
    <w:rsid w:val="00CB38F4"/>
    <w:rsid w:val="00CB513D"/>
    <w:rsid w:val="00CB54CF"/>
    <w:rsid w:val="00CB5C9F"/>
    <w:rsid w:val="00CB7BDF"/>
    <w:rsid w:val="00CC3D96"/>
    <w:rsid w:val="00CC4ECD"/>
    <w:rsid w:val="00CC620F"/>
    <w:rsid w:val="00CC76C0"/>
    <w:rsid w:val="00CC773D"/>
    <w:rsid w:val="00CD01B3"/>
    <w:rsid w:val="00CD0F29"/>
    <w:rsid w:val="00CD2426"/>
    <w:rsid w:val="00CD3D6E"/>
    <w:rsid w:val="00CD4334"/>
    <w:rsid w:val="00CD55A0"/>
    <w:rsid w:val="00CD5BE6"/>
    <w:rsid w:val="00CD6681"/>
    <w:rsid w:val="00CE1ADD"/>
    <w:rsid w:val="00CE3094"/>
    <w:rsid w:val="00CE3627"/>
    <w:rsid w:val="00CE3CFB"/>
    <w:rsid w:val="00CE4B61"/>
    <w:rsid w:val="00CE6866"/>
    <w:rsid w:val="00CE6A65"/>
    <w:rsid w:val="00CE753C"/>
    <w:rsid w:val="00CE7BC4"/>
    <w:rsid w:val="00CF1A24"/>
    <w:rsid w:val="00CF4276"/>
    <w:rsid w:val="00CF4AC3"/>
    <w:rsid w:val="00CF4FD9"/>
    <w:rsid w:val="00CF5E21"/>
    <w:rsid w:val="00CF62E5"/>
    <w:rsid w:val="00D00AA7"/>
    <w:rsid w:val="00D00B4A"/>
    <w:rsid w:val="00D00E2F"/>
    <w:rsid w:val="00D02322"/>
    <w:rsid w:val="00D033A5"/>
    <w:rsid w:val="00D04143"/>
    <w:rsid w:val="00D06540"/>
    <w:rsid w:val="00D12176"/>
    <w:rsid w:val="00D12E0A"/>
    <w:rsid w:val="00D14FAD"/>
    <w:rsid w:val="00D151C5"/>
    <w:rsid w:val="00D20FF9"/>
    <w:rsid w:val="00D21BAA"/>
    <w:rsid w:val="00D22ADD"/>
    <w:rsid w:val="00D257A4"/>
    <w:rsid w:val="00D2695B"/>
    <w:rsid w:val="00D30D22"/>
    <w:rsid w:val="00D4310A"/>
    <w:rsid w:val="00D44111"/>
    <w:rsid w:val="00D44AF1"/>
    <w:rsid w:val="00D44F11"/>
    <w:rsid w:val="00D46489"/>
    <w:rsid w:val="00D46BDF"/>
    <w:rsid w:val="00D50AC1"/>
    <w:rsid w:val="00D51845"/>
    <w:rsid w:val="00D54FCD"/>
    <w:rsid w:val="00D570B6"/>
    <w:rsid w:val="00D62056"/>
    <w:rsid w:val="00D6243A"/>
    <w:rsid w:val="00D641B4"/>
    <w:rsid w:val="00D66570"/>
    <w:rsid w:val="00D673F2"/>
    <w:rsid w:val="00D67CE6"/>
    <w:rsid w:val="00D7096C"/>
    <w:rsid w:val="00D70A1B"/>
    <w:rsid w:val="00D7210F"/>
    <w:rsid w:val="00D73C35"/>
    <w:rsid w:val="00D73F41"/>
    <w:rsid w:val="00D769DF"/>
    <w:rsid w:val="00D81080"/>
    <w:rsid w:val="00D8123B"/>
    <w:rsid w:val="00D8273B"/>
    <w:rsid w:val="00D8333B"/>
    <w:rsid w:val="00D835A6"/>
    <w:rsid w:val="00D8454F"/>
    <w:rsid w:val="00D84756"/>
    <w:rsid w:val="00D85AA4"/>
    <w:rsid w:val="00D86AC3"/>
    <w:rsid w:val="00D87779"/>
    <w:rsid w:val="00D92172"/>
    <w:rsid w:val="00D92179"/>
    <w:rsid w:val="00D921A0"/>
    <w:rsid w:val="00D92694"/>
    <w:rsid w:val="00D93FA9"/>
    <w:rsid w:val="00D94974"/>
    <w:rsid w:val="00D95B93"/>
    <w:rsid w:val="00D96CE0"/>
    <w:rsid w:val="00D9768F"/>
    <w:rsid w:val="00DA12AD"/>
    <w:rsid w:val="00DA26C0"/>
    <w:rsid w:val="00DA3493"/>
    <w:rsid w:val="00DA34D6"/>
    <w:rsid w:val="00DA45C6"/>
    <w:rsid w:val="00DA5FEF"/>
    <w:rsid w:val="00DA68D1"/>
    <w:rsid w:val="00DA6FC6"/>
    <w:rsid w:val="00DA7151"/>
    <w:rsid w:val="00DA7D4C"/>
    <w:rsid w:val="00DA7ED0"/>
    <w:rsid w:val="00DB199D"/>
    <w:rsid w:val="00DB3139"/>
    <w:rsid w:val="00DB32E6"/>
    <w:rsid w:val="00DB4E77"/>
    <w:rsid w:val="00DB639C"/>
    <w:rsid w:val="00DB6D09"/>
    <w:rsid w:val="00DC0B7B"/>
    <w:rsid w:val="00DC1FAF"/>
    <w:rsid w:val="00DC6FF4"/>
    <w:rsid w:val="00DD005F"/>
    <w:rsid w:val="00DD0C4A"/>
    <w:rsid w:val="00DD11A7"/>
    <w:rsid w:val="00DD1FAA"/>
    <w:rsid w:val="00DD236B"/>
    <w:rsid w:val="00DD4448"/>
    <w:rsid w:val="00DD7661"/>
    <w:rsid w:val="00DE1388"/>
    <w:rsid w:val="00DE23FE"/>
    <w:rsid w:val="00DE253A"/>
    <w:rsid w:val="00DE49CC"/>
    <w:rsid w:val="00DF0826"/>
    <w:rsid w:val="00DF2C71"/>
    <w:rsid w:val="00DF37E9"/>
    <w:rsid w:val="00DF48D8"/>
    <w:rsid w:val="00DF57BD"/>
    <w:rsid w:val="00DF6115"/>
    <w:rsid w:val="00DF64AB"/>
    <w:rsid w:val="00DF74A4"/>
    <w:rsid w:val="00E001A7"/>
    <w:rsid w:val="00E02AC7"/>
    <w:rsid w:val="00E03C1D"/>
    <w:rsid w:val="00E04E02"/>
    <w:rsid w:val="00E04E77"/>
    <w:rsid w:val="00E11BCE"/>
    <w:rsid w:val="00E12DD4"/>
    <w:rsid w:val="00E131DC"/>
    <w:rsid w:val="00E14484"/>
    <w:rsid w:val="00E151FA"/>
    <w:rsid w:val="00E161AA"/>
    <w:rsid w:val="00E21A57"/>
    <w:rsid w:val="00E22104"/>
    <w:rsid w:val="00E244A6"/>
    <w:rsid w:val="00E24C0D"/>
    <w:rsid w:val="00E2500C"/>
    <w:rsid w:val="00E2519E"/>
    <w:rsid w:val="00E25763"/>
    <w:rsid w:val="00E278A7"/>
    <w:rsid w:val="00E308E7"/>
    <w:rsid w:val="00E31532"/>
    <w:rsid w:val="00E31DCE"/>
    <w:rsid w:val="00E31E81"/>
    <w:rsid w:val="00E321C4"/>
    <w:rsid w:val="00E35C2C"/>
    <w:rsid w:val="00E35E34"/>
    <w:rsid w:val="00E36C4A"/>
    <w:rsid w:val="00E37593"/>
    <w:rsid w:val="00E378A3"/>
    <w:rsid w:val="00E4055C"/>
    <w:rsid w:val="00E4107C"/>
    <w:rsid w:val="00E41E74"/>
    <w:rsid w:val="00E44EAB"/>
    <w:rsid w:val="00E4524B"/>
    <w:rsid w:val="00E477C5"/>
    <w:rsid w:val="00E51959"/>
    <w:rsid w:val="00E52AAA"/>
    <w:rsid w:val="00E52B50"/>
    <w:rsid w:val="00E53713"/>
    <w:rsid w:val="00E53F4A"/>
    <w:rsid w:val="00E54041"/>
    <w:rsid w:val="00E54489"/>
    <w:rsid w:val="00E5726E"/>
    <w:rsid w:val="00E576B4"/>
    <w:rsid w:val="00E57B34"/>
    <w:rsid w:val="00E60549"/>
    <w:rsid w:val="00E61891"/>
    <w:rsid w:val="00E61FF9"/>
    <w:rsid w:val="00E626D6"/>
    <w:rsid w:val="00E62D77"/>
    <w:rsid w:val="00E64EF4"/>
    <w:rsid w:val="00E659D1"/>
    <w:rsid w:val="00E65C76"/>
    <w:rsid w:val="00E664B8"/>
    <w:rsid w:val="00E70309"/>
    <w:rsid w:val="00E71341"/>
    <w:rsid w:val="00E73A1C"/>
    <w:rsid w:val="00E73F24"/>
    <w:rsid w:val="00E74D20"/>
    <w:rsid w:val="00E7581A"/>
    <w:rsid w:val="00E759DC"/>
    <w:rsid w:val="00E77E66"/>
    <w:rsid w:val="00E801FA"/>
    <w:rsid w:val="00E82A90"/>
    <w:rsid w:val="00E830BA"/>
    <w:rsid w:val="00E854BA"/>
    <w:rsid w:val="00E856E6"/>
    <w:rsid w:val="00E86D6B"/>
    <w:rsid w:val="00E90129"/>
    <w:rsid w:val="00E90664"/>
    <w:rsid w:val="00E910FF"/>
    <w:rsid w:val="00E91C2A"/>
    <w:rsid w:val="00E92839"/>
    <w:rsid w:val="00E931E6"/>
    <w:rsid w:val="00E93776"/>
    <w:rsid w:val="00E93BA7"/>
    <w:rsid w:val="00E9559B"/>
    <w:rsid w:val="00E957F4"/>
    <w:rsid w:val="00E9712B"/>
    <w:rsid w:val="00EA32EA"/>
    <w:rsid w:val="00EA3C6C"/>
    <w:rsid w:val="00EA43E7"/>
    <w:rsid w:val="00EA64D6"/>
    <w:rsid w:val="00EA702E"/>
    <w:rsid w:val="00EA7707"/>
    <w:rsid w:val="00EB16E8"/>
    <w:rsid w:val="00EB2686"/>
    <w:rsid w:val="00EB2AFA"/>
    <w:rsid w:val="00EB318F"/>
    <w:rsid w:val="00EB565F"/>
    <w:rsid w:val="00EB6C39"/>
    <w:rsid w:val="00EB715C"/>
    <w:rsid w:val="00EB7CD9"/>
    <w:rsid w:val="00EC035B"/>
    <w:rsid w:val="00EC0991"/>
    <w:rsid w:val="00EC1454"/>
    <w:rsid w:val="00EC1CC1"/>
    <w:rsid w:val="00EC2A38"/>
    <w:rsid w:val="00EC2B00"/>
    <w:rsid w:val="00EC3865"/>
    <w:rsid w:val="00EC4FF5"/>
    <w:rsid w:val="00EC55F6"/>
    <w:rsid w:val="00EC6839"/>
    <w:rsid w:val="00EC6FD4"/>
    <w:rsid w:val="00EC7058"/>
    <w:rsid w:val="00EC723C"/>
    <w:rsid w:val="00EC72B2"/>
    <w:rsid w:val="00ED124F"/>
    <w:rsid w:val="00ED2E26"/>
    <w:rsid w:val="00ED43C9"/>
    <w:rsid w:val="00ED68FD"/>
    <w:rsid w:val="00ED6E9C"/>
    <w:rsid w:val="00ED734F"/>
    <w:rsid w:val="00EE0117"/>
    <w:rsid w:val="00EE1CCB"/>
    <w:rsid w:val="00EE1EEC"/>
    <w:rsid w:val="00EE2181"/>
    <w:rsid w:val="00EE495C"/>
    <w:rsid w:val="00EF1380"/>
    <w:rsid w:val="00EF1DC4"/>
    <w:rsid w:val="00EF219E"/>
    <w:rsid w:val="00EF3CB7"/>
    <w:rsid w:val="00EF6FBC"/>
    <w:rsid w:val="00EF7A03"/>
    <w:rsid w:val="00F02FA1"/>
    <w:rsid w:val="00F0624D"/>
    <w:rsid w:val="00F06781"/>
    <w:rsid w:val="00F10390"/>
    <w:rsid w:val="00F121C3"/>
    <w:rsid w:val="00F133DF"/>
    <w:rsid w:val="00F16AAC"/>
    <w:rsid w:val="00F22282"/>
    <w:rsid w:val="00F233C7"/>
    <w:rsid w:val="00F236A4"/>
    <w:rsid w:val="00F239C5"/>
    <w:rsid w:val="00F245B0"/>
    <w:rsid w:val="00F26207"/>
    <w:rsid w:val="00F2672B"/>
    <w:rsid w:val="00F2675C"/>
    <w:rsid w:val="00F27203"/>
    <w:rsid w:val="00F3780B"/>
    <w:rsid w:val="00F408C0"/>
    <w:rsid w:val="00F40F6E"/>
    <w:rsid w:val="00F446C5"/>
    <w:rsid w:val="00F44959"/>
    <w:rsid w:val="00F451CC"/>
    <w:rsid w:val="00F51843"/>
    <w:rsid w:val="00F5355E"/>
    <w:rsid w:val="00F53EF6"/>
    <w:rsid w:val="00F546A1"/>
    <w:rsid w:val="00F60C65"/>
    <w:rsid w:val="00F60EE5"/>
    <w:rsid w:val="00F6132E"/>
    <w:rsid w:val="00F64298"/>
    <w:rsid w:val="00F67751"/>
    <w:rsid w:val="00F67E39"/>
    <w:rsid w:val="00F7027D"/>
    <w:rsid w:val="00F71119"/>
    <w:rsid w:val="00F74021"/>
    <w:rsid w:val="00F745E1"/>
    <w:rsid w:val="00F838DA"/>
    <w:rsid w:val="00F83A22"/>
    <w:rsid w:val="00F83B75"/>
    <w:rsid w:val="00F84621"/>
    <w:rsid w:val="00F85344"/>
    <w:rsid w:val="00F86301"/>
    <w:rsid w:val="00F866B5"/>
    <w:rsid w:val="00F872FE"/>
    <w:rsid w:val="00F948DF"/>
    <w:rsid w:val="00F955A1"/>
    <w:rsid w:val="00F955B9"/>
    <w:rsid w:val="00F95DF5"/>
    <w:rsid w:val="00F96896"/>
    <w:rsid w:val="00F97B2D"/>
    <w:rsid w:val="00FA0C46"/>
    <w:rsid w:val="00FA3426"/>
    <w:rsid w:val="00FA4301"/>
    <w:rsid w:val="00FA5049"/>
    <w:rsid w:val="00FB0A15"/>
    <w:rsid w:val="00FB4B38"/>
    <w:rsid w:val="00FB7146"/>
    <w:rsid w:val="00FB7564"/>
    <w:rsid w:val="00FC26EF"/>
    <w:rsid w:val="00FC2AC1"/>
    <w:rsid w:val="00FC6612"/>
    <w:rsid w:val="00FC6AA4"/>
    <w:rsid w:val="00FD1699"/>
    <w:rsid w:val="00FD4012"/>
    <w:rsid w:val="00FD5501"/>
    <w:rsid w:val="00FD5E02"/>
    <w:rsid w:val="00FD6778"/>
    <w:rsid w:val="00FE0BE3"/>
    <w:rsid w:val="00FE4113"/>
    <w:rsid w:val="00FE69A6"/>
    <w:rsid w:val="00FE7FFC"/>
    <w:rsid w:val="00FF0234"/>
    <w:rsid w:val="00FF03A5"/>
    <w:rsid w:val="00FF2574"/>
    <w:rsid w:val="00FF301D"/>
    <w:rsid w:val="00FF3120"/>
    <w:rsid w:val="00FF3996"/>
    <w:rsid w:val="00FF4301"/>
    <w:rsid w:val="00FF5267"/>
    <w:rsid w:val="00FF5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372A643"/>
  <w15:chartTrackingRefBased/>
  <w15:docId w15:val="{0DA62411-A3FA-4A93-B22C-7341E80A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hAnsi="Liberation Serif" w:cs="Arial Unicode MS"/>
      <w:kern w:val="1"/>
      <w:sz w:val="24"/>
      <w:szCs w:val="24"/>
      <w:lang w:eastAsia="zh-CN" w:bidi="hi-IN"/>
    </w:rPr>
  </w:style>
  <w:style w:type="paragraph" w:styleId="Ttulo1">
    <w:name w:val="heading 1"/>
    <w:basedOn w:val="Normal"/>
    <w:next w:val="Normal"/>
    <w:link w:val="Ttulo1Char"/>
    <w:uiPriority w:val="9"/>
    <w:qFormat/>
    <w:rsid w:val="00EC2B00"/>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tulo5">
    <w:name w:val="heading 5"/>
    <w:basedOn w:val="Normal"/>
    <w:link w:val="Ttulo5Char"/>
    <w:uiPriority w:val="9"/>
    <w:qFormat/>
    <w:rsid w:val="00CB1FFC"/>
    <w:pPr>
      <w:suppressAutoHyphens w:val="0"/>
      <w:spacing w:before="100" w:beforeAutospacing="1" w:after="100" w:afterAutospacing="1"/>
      <w:outlineLvl w:val="4"/>
    </w:pPr>
    <w:rPr>
      <w:rFonts w:ascii="Times New Roman" w:eastAsia="Times New Roman" w:hAnsi="Times New Roman" w:cs="Times New Roman"/>
      <w:b/>
      <w:bCs/>
      <w:kern w:val="0"/>
      <w:sz w:val="20"/>
      <w:szCs w:val="20"/>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80"/>
      <w:u w:val="single"/>
    </w:rPr>
  </w:style>
  <w:style w:type="character" w:styleId="nfase">
    <w:name w:val="Emphasis"/>
    <w:uiPriority w:val="20"/>
    <w:qFormat/>
    <w:rPr>
      <w:i/>
      <w:iCs/>
    </w:rPr>
  </w:style>
  <w:style w:type="character" w:customStyle="1" w:styleId="TextodebaloChar">
    <w:name w:val="Texto de balão Char"/>
    <w:rPr>
      <w:rFonts w:ascii="Segoe UI" w:eastAsia="SimSun" w:hAnsi="Segoe UI" w:cs="Mangal"/>
      <w:kern w:val="1"/>
      <w:sz w:val="18"/>
      <w:szCs w:val="16"/>
      <w:lang w:eastAsia="zh-CN" w:bidi="hi-IN"/>
    </w:rPr>
  </w:style>
  <w:style w:type="character" w:customStyle="1" w:styleId="Refdecomentrio1">
    <w:name w:val="Ref. de comentário1"/>
    <w:rPr>
      <w:sz w:val="16"/>
      <w:szCs w:val="16"/>
    </w:rPr>
  </w:style>
  <w:style w:type="character" w:customStyle="1" w:styleId="TextodecomentrioChar">
    <w:name w:val="Texto de comentário Char"/>
    <w:rPr>
      <w:rFonts w:ascii="Liberation Serif" w:eastAsia="SimSun" w:hAnsi="Liberation Serif" w:cs="Mangal"/>
      <w:kern w:val="1"/>
      <w:szCs w:val="18"/>
      <w:lang w:eastAsia="zh-CN" w:bidi="hi-IN"/>
    </w:rPr>
  </w:style>
  <w:style w:type="character" w:customStyle="1" w:styleId="AssuntodocomentrioChar">
    <w:name w:val="Assunto do comentário Char"/>
    <w:rPr>
      <w:rFonts w:ascii="Liberation Serif" w:eastAsia="SimSun" w:hAnsi="Liberation Serif" w:cs="Mangal"/>
      <w:b/>
      <w:bCs/>
      <w:kern w:val="1"/>
      <w:szCs w:val="18"/>
      <w:lang w:eastAsia="zh-CN" w:bidi="hi-IN"/>
    </w:rPr>
  </w:style>
  <w:style w:type="paragraph" w:customStyle="1" w:styleId="Ttulo2">
    <w:name w:val="Título2"/>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Textodebalo">
    <w:name w:val="Balloon Text"/>
    <w:basedOn w:val="Normal"/>
    <w:rPr>
      <w:rFonts w:ascii="Segoe UI" w:hAnsi="Segoe UI" w:cs="Mangal"/>
      <w:sz w:val="18"/>
      <w:szCs w:val="16"/>
    </w:rPr>
  </w:style>
  <w:style w:type="paragraph" w:customStyle="1" w:styleId="Textodecomentrio1">
    <w:name w:val="Texto de comentário1"/>
    <w:basedOn w:val="Normal"/>
    <w:rPr>
      <w:rFonts w:cs="Mangal"/>
      <w:sz w:val="20"/>
      <w:szCs w:val="18"/>
    </w:rPr>
  </w:style>
  <w:style w:type="paragraph" w:styleId="Assuntodocomentrio">
    <w:name w:val="annotation subject"/>
    <w:basedOn w:val="Textodecomentrio1"/>
    <w:next w:val="Textodecomentrio1"/>
    <w:rPr>
      <w:b/>
      <w:bCs/>
    </w:rPr>
  </w:style>
  <w:style w:type="paragraph" w:styleId="Reviso">
    <w:name w:val="Revision"/>
    <w:pPr>
      <w:suppressAutoHyphens/>
    </w:pPr>
    <w:rPr>
      <w:rFonts w:ascii="Liberation Serif" w:hAnsi="Liberation Serif" w:cs="Mangal"/>
      <w:kern w:val="1"/>
      <w:sz w:val="24"/>
      <w:szCs w:val="21"/>
      <w:lang w:eastAsia="zh-CN" w:bidi="hi-IN"/>
    </w:rPr>
  </w:style>
  <w:style w:type="paragraph" w:customStyle="1" w:styleId="Textoprformatado">
    <w:name w:val="Texto préformatado"/>
    <w:basedOn w:val="Normal"/>
    <w:rPr>
      <w:rFonts w:ascii="Liberation Mono" w:eastAsia="NSimSun" w:hAnsi="Liberation Mono" w:cs="Liberation Mono"/>
      <w:sz w:val="20"/>
      <w:szCs w:val="20"/>
    </w:rPr>
  </w:style>
  <w:style w:type="character" w:styleId="MenoPendente">
    <w:name w:val="Unresolved Mention"/>
    <w:uiPriority w:val="99"/>
    <w:semiHidden/>
    <w:unhideWhenUsed/>
    <w:rsid w:val="00232B82"/>
    <w:rPr>
      <w:color w:val="605E5C"/>
      <w:shd w:val="clear" w:color="auto" w:fill="E1DFDD"/>
    </w:rPr>
  </w:style>
  <w:style w:type="character" w:customStyle="1" w:styleId="retrieved-from">
    <w:name w:val="retrieved-from"/>
    <w:rsid w:val="005C45E2"/>
  </w:style>
  <w:style w:type="paragraph" w:customStyle="1" w:styleId="artigo">
    <w:name w:val="artigo"/>
    <w:basedOn w:val="Normal"/>
    <w:rsid w:val="005613EF"/>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texto2">
    <w:name w:val="texto2"/>
    <w:basedOn w:val="Normal"/>
    <w:rsid w:val="00A21004"/>
    <w:pPr>
      <w:suppressAutoHyphens w:val="0"/>
      <w:spacing w:before="100" w:beforeAutospacing="1" w:after="100" w:afterAutospacing="1"/>
    </w:pPr>
    <w:rPr>
      <w:rFonts w:ascii="Times New Roman" w:eastAsia="Times New Roman" w:hAnsi="Times New Roman" w:cs="Times New Roman"/>
      <w:kern w:val="0"/>
      <w:lang w:eastAsia="pt-BR" w:bidi="ar-SA"/>
    </w:rPr>
  </w:style>
  <w:style w:type="character" w:customStyle="1" w:styleId="Ttulo5Char">
    <w:name w:val="Título 5 Char"/>
    <w:link w:val="Ttulo5"/>
    <w:uiPriority w:val="9"/>
    <w:rsid w:val="00CB1FFC"/>
    <w:rPr>
      <w:rFonts w:eastAsia="Times New Roman"/>
      <w:b/>
      <w:bCs/>
    </w:rPr>
  </w:style>
  <w:style w:type="paragraph" w:styleId="NormalWeb">
    <w:name w:val="Normal (Web)"/>
    <w:basedOn w:val="Normal"/>
    <w:uiPriority w:val="99"/>
    <w:semiHidden/>
    <w:unhideWhenUsed/>
    <w:rsid w:val="00CB1FFC"/>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styleId="Cabealho">
    <w:name w:val="header"/>
    <w:basedOn w:val="Normal"/>
    <w:link w:val="CabealhoChar"/>
    <w:uiPriority w:val="99"/>
    <w:unhideWhenUsed/>
    <w:rsid w:val="006F0869"/>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6F0869"/>
    <w:rPr>
      <w:rFonts w:ascii="Liberation Serif" w:hAnsi="Liberation Serif" w:cs="Mangal"/>
      <w:kern w:val="1"/>
      <w:sz w:val="24"/>
      <w:szCs w:val="21"/>
      <w:lang w:eastAsia="zh-CN" w:bidi="hi-IN"/>
    </w:rPr>
  </w:style>
  <w:style w:type="paragraph" w:styleId="Rodap">
    <w:name w:val="footer"/>
    <w:basedOn w:val="Normal"/>
    <w:link w:val="RodapChar"/>
    <w:uiPriority w:val="99"/>
    <w:unhideWhenUsed/>
    <w:rsid w:val="006F0869"/>
    <w:pPr>
      <w:tabs>
        <w:tab w:val="center" w:pos="4252"/>
        <w:tab w:val="right" w:pos="8504"/>
      </w:tabs>
    </w:pPr>
    <w:rPr>
      <w:rFonts w:cs="Mangal"/>
      <w:szCs w:val="21"/>
    </w:rPr>
  </w:style>
  <w:style w:type="character" w:customStyle="1" w:styleId="RodapChar">
    <w:name w:val="Rodapé Char"/>
    <w:basedOn w:val="Fontepargpadro"/>
    <w:link w:val="Rodap"/>
    <w:uiPriority w:val="99"/>
    <w:rsid w:val="006F0869"/>
    <w:rPr>
      <w:rFonts w:ascii="Liberation Serif" w:hAnsi="Liberation Serif" w:cs="Mangal"/>
      <w:kern w:val="1"/>
      <w:sz w:val="24"/>
      <w:szCs w:val="21"/>
      <w:lang w:eastAsia="zh-CN" w:bidi="hi-IN"/>
    </w:rPr>
  </w:style>
  <w:style w:type="character" w:styleId="Refdecomentrio">
    <w:name w:val="annotation reference"/>
    <w:basedOn w:val="Fontepargpadro"/>
    <w:uiPriority w:val="99"/>
    <w:semiHidden/>
    <w:unhideWhenUsed/>
    <w:rsid w:val="00FC6AA4"/>
    <w:rPr>
      <w:sz w:val="16"/>
      <w:szCs w:val="16"/>
    </w:rPr>
  </w:style>
  <w:style w:type="paragraph" w:styleId="Textodecomentrio">
    <w:name w:val="annotation text"/>
    <w:basedOn w:val="Normal"/>
    <w:link w:val="TextodecomentrioChar1"/>
    <w:uiPriority w:val="99"/>
    <w:semiHidden/>
    <w:unhideWhenUsed/>
    <w:rsid w:val="00FC6AA4"/>
    <w:rPr>
      <w:rFonts w:cs="Mangal"/>
      <w:sz w:val="20"/>
      <w:szCs w:val="18"/>
    </w:rPr>
  </w:style>
  <w:style w:type="character" w:customStyle="1" w:styleId="TextodecomentrioChar1">
    <w:name w:val="Texto de comentário Char1"/>
    <w:basedOn w:val="Fontepargpadro"/>
    <w:link w:val="Textodecomentrio"/>
    <w:uiPriority w:val="99"/>
    <w:semiHidden/>
    <w:rsid w:val="00FC6AA4"/>
    <w:rPr>
      <w:rFonts w:ascii="Liberation Serif" w:hAnsi="Liberation Serif" w:cs="Mangal"/>
      <w:kern w:val="1"/>
      <w:szCs w:val="18"/>
      <w:lang w:eastAsia="zh-CN" w:bidi="hi-IN"/>
    </w:rPr>
  </w:style>
  <w:style w:type="character" w:customStyle="1" w:styleId="Ttulo1Char">
    <w:name w:val="Título 1 Char"/>
    <w:basedOn w:val="Fontepargpadro"/>
    <w:link w:val="Ttulo1"/>
    <w:uiPriority w:val="9"/>
    <w:rsid w:val="00EC2B00"/>
    <w:rPr>
      <w:rFonts w:asciiTheme="majorHAnsi" w:eastAsiaTheme="majorEastAsia" w:hAnsiTheme="majorHAnsi" w:cs="Mangal"/>
      <w:color w:val="2F5496" w:themeColor="accent1" w:themeShade="BF"/>
      <w:kern w:val="1"/>
      <w:sz w:val="32"/>
      <w:szCs w:val="29"/>
      <w:lang w:eastAsia="zh-CN" w:bidi="hi-IN"/>
    </w:rPr>
  </w:style>
  <w:style w:type="paragraph" w:styleId="PargrafodaLista">
    <w:name w:val="List Paragraph"/>
    <w:basedOn w:val="Normal"/>
    <w:uiPriority w:val="34"/>
    <w:qFormat/>
    <w:rsid w:val="0076105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801">
      <w:bodyDiv w:val="1"/>
      <w:marLeft w:val="0"/>
      <w:marRight w:val="0"/>
      <w:marTop w:val="0"/>
      <w:marBottom w:val="0"/>
      <w:divBdr>
        <w:top w:val="none" w:sz="0" w:space="0" w:color="auto"/>
        <w:left w:val="none" w:sz="0" w:space="0" w:color="auto"/>
        <w:bottom w:val="none" w:sz="0" w:space="0" w:color="auto"/>
        <w:right w:val="none" w:sz="0" w:space="0" w:color="auto"/>
      </w:divBdr>
    </w:div>
    <w:div w:id="232086588">
      <w:bodyDiv w:val="1"/>
      <w:marLeft w:val="0"/>
      <w:marRight w:val="0"/>
      <w:marTop w:val="0"/>
      <w:marBottom w:val="0"/>
      <w:divBdr>
        <w:top w:val="none" w:sz="0" w:space="0" w:color="auto"/>
        <w:left w:val="none" w:sz="0" w:space="0" w:color="auto"/>
        <w:bottom w:val="none" w:sz="0" w:space="0" w:color="auto"/>
        <w:right w:val="none" w:sz="0" w:space="0" w:color="auto"/>
      </w:divBdr>
    </w:div>
    <w:div w:id="256907503">
      <w:bodyDiv w:val="1"/>
      <w:marLeft w:val="0"/>
      <w:marRight w:val="0"/>
      <w:marTop w:val="0"/>
      <w:marBottom w:val="0"/>
      <w:divBdr>
        <w:top w:val="none" w:sz="0" w:space="0" w:color="auto"/>
        <w:left w:val="none" w:sz="0" w:space="0" w:color="auto"/>
        <w:bottom w:val="none" w:sz="0" w:space="0" w:color="auto"/>
        <w:right w:val="none" w:sz="0" w:space="0" w:color="auto"/>
      </w:divBdr>
    </w:div>
    <w:div w:id="372578345">
      <w:bodyDiv w:val="1"/>
      <w:marLeft w:val="0"/>
      <w:marRight w:val="0"/>
      <w:marTop w:val="0"/>
      <w:marBottom w:val="0"/>
      <w:divBdr>
        <w:top w:val="none" w:sz="0" w:space="0" w:color="auto"/>
        <w:left w:val="none" w:sz="0" w:space="0" w:color="auto"/>
        <w:bottom w:val="none" w:sz="0" w:space="0" w:color="auto"/>
        <w:right w:val="none" w:sz="0" w:space="0" w:color="auto"/>
      </w:divBdr>
    </w:div>
    <w:div w:id="507331396">
      <w:bodyDiv w:val="1"/>
      <w:marLeft w:val="0"/>
      <w:marRight w:val="0"/>
      <w:marTop w:val="0"/>
      <w:marBottom w:val="0"/>
      <w:divBdr>
        <w:top w:val="none" w:sz="0" w:space="0" w:color="auto"/>
        <w:left w:val="none" w:sz="0" w:space="0" w:color="auto"/>
        <w:bottom w:val="none" w:sz="0" w:space="0" w:color="auto"/>
        <w:right w:val="none" w:sz="0" w:space="0" w:color="auto"/>
      </w:divBdr>
    </w:div>
    <w:div w:id="618803710">
      <w:bodyDiv w:val="1"/>
      <w:marLeft w:val="0"/>
      <w:marRight w:val="0"/>
      <w:marTop w:val="0"/>
      <w:marBottom w:val="0"/>
      <w:divBdr>
        <w:top w:val="none" w:sz="0" w:space="0" w:color="auto"/>
        <w:left w:val="none" w:sz="0" w:space="0" w:color="auto"/>
        <w:bottom w:val="none" w:sz="0" w:space="0" w:color="auto"/>
        <w:right w:val="none" w:sz="0" w:space="0" w:color="auto"/>
      </w:divBdr>
    </w:div>
    <w:div w:id="660963067">
      <w:bodyDiv w:val="1"/>
      <w:marLeft w:val="0"/>
      <w:marRight w:val="0"/>
      <w:marTop w:val="0"/>
      <w:marBottom w:val="0"/>
      <w:divBdr>
        <w:top w:val="none" w:sz="0" w:space="0" w:color="auto"/>
        <w:left w:val="none" w:sz="0" w:space="0" w:color="auto"/>
        <w:bottom w:val="none" w:sz="0" w:space="0" w:color="auto"/>
        <w:right w:val="none" w:sz="0" w:space="0" w:color="auto"/>
      </w:divBdr>
    </w:div>
    <w:div w:id="805005801">
      <w:bodyDiv w:val="1"/>
      <w:marLeft w:val="0"/>
      <w:marRight w:val="0"/>
      <w:marTop w:val="0"/>
      <w:marBottom w:val="0"/>
      <w:divBdr>
        <w:top w:val="none" w:sz="0" w:space="0" w:color="auto"/>
        <w:left w:val="none" w:sz="0" w:space="0" w:color="auto"/>
        <w:bottom w:val="none" w:sz="0" w:space="0" w:color="auto"/>
        <w:right w:val="none" w:sz="0" w:space="0" w:color="auto"/>
      </w:divBdr>
    </w:div>
    <w:div w:id="828209864">
      <w:bodyDiv w:val="1"/>
      <w:marLeft w:val="0"/>
      <w:marRight w:val="0"/>
      <w:marTop w:val="0"/>
      <w:marBottom w:val="0"/>
      <w:divBdr>
        <w:top w:val="none" w:sz="0" w:space="0" w:color="auto"/>
        <w:left w:val="none" w:sz="0" w:space="0" w:color="auto"/>
        <w:bottom w:val="none" w:sz="0" w:space="0" w:color="auto"/>
        <w:right w:val="none" w:sz="0" w:space="0" w:color="auto"/>
      </w:divBdr>
    </w:div>
    <w:div w:id="831682502">
      <w:bodyDiv w:val="1"/>
      <w:marLeft w:val="0"/>
      <w:marRight w:val="0"/>
      <w:marTop w:val="0"/>
      <w:marBottom w:val="0"/>
      <w:divBdr>
        <w:top w:val="none" w:sz="0" w:space="0" w:color="auto"/>
        <w:left w:val="none" w:sz="0" w:space="0" w:color="auto"/>
        <w:bottom w:val="none" w:sz="0" w:space="0" w:color="auto"/>
        <w:right w:val="none" w:sz="0" w:space="0" w:color="auto"/>
      </w:divBdr>
    </w:div>
    <w:div w:id="867766213">
      <w:bodyDiv w:val="1"/>
      <w:marLeft w:val="0"/>
      <w:marRight w:val="0"/>
      <w:marTop w:val="0"/>
      <w:marBottom w:val="0"/>
      <w:divBdr>
        <w:top w:val="none" w:sz="0" w:space="0" w:color="auto"/>
        <w:left w:val="none" w:sz="0" w:space="0" w:color="auto"/>
        <w:bottom w:val="none" w:sz="0" w:space="0" w:color="auto"/>
        <w:right w:val="none" w:sz="0" w:space="0" w:color="auto"/>
      </w:divBdr>
    </w:div>
    <w:div w:id="917177614">
      <w:bodyDiv w:val="1"/>
      <w:marLeft w:val="0"/>
      <w:marRight w:val="0"/>
      <w:marTop w:val="0"/>
      <w:marBottom w:val="0"/>
      <w:divBdr>
        <w:top w:val="none" w:sz="0" w:space="0" w:color="auto"/>
        <w:left w:val="none" w:sz="0" w:space="0" w:color="auto"/>
        <w:bottom w:val="none" w:sz="0" w:space="0" w:color="auto"/>
        <w:right w:val="none" w:sz="0" w:space="0" w:color="auto"/>
      </w:divBdr>
    </w:div>
    <w:div w:id="973603953">
      <w:bodyDiv w:val="1"/>
      <w:marLeft w:val="0"/>
      <w:marRight w:val="0"/>
      <w:marTop w:val="0"/>
      <w:marBottom w:val="0"/>
      <w:divBdr>
        <w:top w:val="none" w:sz="0" w:space="0" w:color="auto"/>
        <w:left w:val="none" w:sz="0" w:space="0" w:color="auto"/>
        <w:bottom w:val="none" w:sz="0" w:space="0" w:color="auto"/>
        <w:right w:val="none" w:sz="0" w:space="0" w:color="auto"/>
      </w:divBdr>
    </w:div>
    <w:div w:id="975456688">
      <w:bodyDiv w:val="1"/>
      <w:marLeft w:val="0"/>
      <w:marRight w:val="0"/>
      <w:marTop w:val="0"/>
      <w:marBottom w:val="0"/>
      <w:divBdr>
        <w:top w:val="none" w:sz="0" w:space="0" w:color="auto"/>
        <w:left w:val="none" w:sz="0" w:space="0" w:color="auto"/>
        <w:bottom w:val="none" w:sz="0" w:space="0" w:color="auto"/>
        <w:right w:val="none" w:sz="0" w:space="0" w:color="auto"/>
      </w:divBdr>
    </w:div>
    <w:div w:id="977540229">
      <w:bodyDiv w:val="1"/>
      <w:marLeft w:val="0"/>
      <w:marRight w:val="0"/>
      <w:marTop w:val="0"/>
      <w:marBottom w:val="0"/>
      <w:divBdr>
        <w:top w:val="none" w:sz="0" w:space="0" w:color="auto"/>
        <w:left w:val="none" w:sz="0" w:space="0" w:color="auto"/>
        <w:bottom w:val="none" w:sz="0" w:space="0" w:color="auto"/>
        <w:right w:val="none" w:sz="0" w:space="0" w:color="auto"/>
      </w:divBdr>
    </w:div>
    <w:div w:id="998965469">
      <w:bodyDiv w:val="1"/>
      <w:marLeft w:val="0"/>
      <w:marRight w:val="0"/>
      <w:marTop w:val="0"/>
      <w:marBottom w:val="0"/>
      <w:divBdr>
        <w:top w:val="none" w:sz="0" w:space="0" w:color="auto"/>
        <w:left w:val="none" w:sz="0" w:space="0" w:color="auto"/>
        <w:bottom w:val="none" w:sz="0" w:space="0" w:color="auto"/>
        <w:right w:val="none" w:sz="0" w:space="0" w:color="auto"/>
      </w:divBdr>
    </w:div>
    <w:div w:id="1009529697">
      <w:bodyDiv w:val="1"/>
      <w:marLeft w:val="0"/>
      <w:marRight w:val="0"/>
      <w:marTop w:val="0"/>
      <w:marBottom w:val="0"/>
      <w:divBdr>
        <w:top w:val="none" w:sz="0" w:space="0" w:color="auto"/>
        <w:left w:val="none" w:sz="0" w:space="0" w:color="auto"/>
        <w:bottom w:val="none" w:sz="0" w:space="0" w:color="auto"/>
        <w:right w:val="none" w:sz="0" w:space="0" w:color="auto"/>
      </w:divBdr>
    </w:div>
    <w:div w:id="1076978254">
      <w:bodyDiv w:val="1"/>
      <w:marLeft w:val="0"/>
      <w:marRight w:val="0"/>
      <w:marTop w:val="0"/>
      <w:marBottom w:val="0"/>
      <w:divBdr>
        <w:top w:val="none" w:sz="0" w:space="0" w:color="auto"/>
        <w:left w:val="none" w:sz="0" w:space="0" w:color="auto"/>
        <w:bottom w:val="none" w:sz="0" w:space="0" w:color="auto"/>
        <w:right w:val="none" w:sz="0" w:space="0" w:color="auto"/>
      </w:divBdr>
    </w:div>
    <w:div w:id="1110928533">
      <w:bodyDiv w:val="1"/>
      <w:marLeft w:val="0"/>
      <w:marRight w:val="0"/>
      <w:marTop w:val="0"/>
      <w:marBottom w:val="0"/>
      <w:divBdr>
        <w:top w:val="none" w:sz="0" w:space="0" w:color="auto"/>
        <w:left w:val="none" w:sz="0" w:space="0" w:color="auto"/>
        <w:bottom w:val="none" w:sz="0" w:space="0" w:color="auto"/>
        <w:right w:val="none" w:sz="0" w:space="0" w:color="auto"/>
      </w:divBdr>
    </w:div>
    <w:div w:id="1216314407">
      <w:bodyDiv w:val="1"/>
      <w:marLeft w:val="0"/>
      <w:marRight w:val="0"/>
      <w:marTop w:val="0"/>
      <w:marBottom w:val="0"/>
      <w:divBdr>
        <w:top w:val="none" w:sz="0" w:space="0" w:color="auto"/>
        <w:left w:val="none" w:sz="0" w:space="0" w:color="auto"/>
        <w:bottom w:val="none" w:sz="0" w:space="0" w:color="auto"/>
        <w:right w:val="none" w:sz="0" w:space="0" w:color="auto"/>
      </w:divBdr>
    </w:div>
    <w:div w:id="1235971974">
      <w:bodyDiv w:val="1"/>
      <w:marLeft w:val="0"/>
      <w:marRight w:val="0"/>
      <w:marTop w:val="0"/>
      <w:marBottom w:val="0"/>
      <w:divBdr>
        <w:top w:val="none" w:sz="0" w:space="0" w:color="auto"/>
        <w:left w:val="none" w:sz="0" w:space="0" w:color="auto"/>
        <w:bottom w:val="none" w:sz="0" w:space="0" w:color="auto"/>
        <w:right w:val="none" w:sz="0" w:space="0" w:color="auto"/>
      </w:divBdr>
    </w:div>
    <w:div w:id="1256085939">
      <w:bodyDiv w:val="1"/>
      <w:marLeft w:val="0"/>
      <w:marRight w:val="0"/>
      <w:marTop w:val="0"/>
      <w:marBottom w:val="0"/>
      <w:divBdr>
        <w:top w:val="none" w:sz="0" w:space="0" w:color="auto"/>
        <w:left w:val="none" w:sz="0" w:space="0" w:color="auto"/>
        <w:bottom w:val="none" w:sz="0" w:space="0" w:color="auto"/>
        <w:right w:val="none" w:sz="0" w:space="0" w:color="auto"/>
      </w:divBdr>
    </w:div>
    <w:div w:id="1284116416">
      <w:bodyDiv w:val="1"/>
      <w:marLeft w:val="0"/>
      <w:marRight w:val="0"/>
      <w:marTop w:val="0"/>
      <w:marBottom w:val="0"/>
      <w:divBdr>
        <w:top w:val="none" w:sz="0" w:space="0" w:color="auto"/>
        <w:left w:val="none" w:sz="0" w:space="0" w:color="auto"/>
        <w:bottom w:val="none" w:sz="0" w:space="0" w:color="auto"/>
        <w:right w:val="none" w:sz="0" w:space="0" w:color="auto"/>
      </w:divBdr>
    </w:div>
    <w:div w:id="1347294126">
      <w:bodyDiv w:val="1"/>
      <w:marLeft w:val="0"/>
      <w:marRight w:val="0"/>
      <w:marTop w:val="0"/>
      <w:marBottom w:val="0"/>
      <w:divBdr>
        <w:top w:val="none" w:sz="0" w:space="0" w:color="auto"/>
        <w:left w:val="none" w:sz="0" w:space="0" w:color="auto"/>
        <w:bottom w:val="none" w:sz="0" w:space="0" w:color="auto"/>
        <w:right w:val="none" w:sz="0" w:space="0" w:color="auto"/>
      </w:divBdr>
    </w:div>
    <w:div w:id="1401947855">
      <w:bodyDiv w:val="1"/>
      <w:marLeft w:val="0"/>
      <w:marRight w:val="0"/>
      <w:marTop w:val="0"/>
      <w:marBottom w:val="0"/>
      <w:divBdr>
        <w:top w:val="none" w:sz="0" w:space="0" w:color="auto"/>
        <w:left w:val="none" w:sz="0" w:space="0" w:color="auto"/>
        <w:bottom w:val="none" w:sz="0" w:space="0" w:color="auto"/>
        <w:right w:val="none" w:sz="0" w:space="0" w:color="auto"/>
      </w:divBdr>
    </w:div>
    <w:div w:id="1440831144">
      <w:bodyDiv w:val="1"/>
      <w:marLeft w:val="0"/>
      <w:marRight w:val="0"/>
      <w:marTop w:val="0"/>
      <w:marBottom w:val="0"/>
      <w:divBdr>
        <w:top w:val="none" w:sz="0" w:space="0" w:color="auto"/>
        <w:left w:val="none" w:sz="0" w:space="0" w:color="auto"/>
        <w:bottom w:val="none" w:sz="0" w:space="0" w:color="auto"/>
        <w:right w:val="none" w:sz="0" w:space="0" w:color="auto"/>
      </w:divBdr>
    </w:div>
    <w:div w:id="1460299741">
      <w:bodyDiv w:val="1"/>
      <w:marLeft w:val="0"/>
      <w:marRight w:val="0"/>
      <w:marTop w:val="0"/>
      <w:marBottom w:val="0"/>
      <w:divBdr>
        <w:top w:val="none" w:sz="0" w:space="0" w:color="auto"/>
        <w:left w:val="none" w:sz="0" w:space="0" w:color="auto"/>
        <w:bottom w:val="none" w:sz="0" w:space="0" w:color="auto"/>
        <w:right w:val="none" w:sz="0" w:space="0" w:color="auto"/>
      </w:divBdr>
    </w:div>
    <w:div w:id="1512450770">
      <w:bodyDiv w:val="1"/>
      <w:marLeft w:val="0"/>
      <w:marRight w:val="0"/>
      <w:marTop w:val="0"/>
      <w:marBottom w:val="0"/>
      <w:divBdr>
        <w:top w:val="none" w:sz="0" w:space="0" w:color="auto"/>
        <w:left w:val="none" w:sz="0" w:space="0" w:color="auto"/>
        <w:bottom w:val="none" w:sz="0" w:space="0" w:color="auto"/>
        <w:right w:val="none" w:sz="0" w:space="0" w:color="auto"/>
      </w:divBdr>
    </w:div>
    <w:div w:id="1541897271">
      <w:bodyDiv w:val="1"/>
      <w:marLeft w:val="0"/>
      <w:marRight w:val="0"/>
      <w:marTop w:val="0"/>
      <w:marBottom w:val="0"/>
      <w:divBdr>
        <w:top w:val="none" w:sz="0" w:space="0" w:color="auto"/>
        <w:left w:val="none" w:sz="0" w:space="0" w:color="auto"/>
        <w:bottom w:val="none" w:sz="0" w:space="0" w:color="auto"/>
        <w:right w:val="none" w:sz="0" w:space="0" w:color="auto"/>
      </w:divBdr>
    </w:div>
    <w:div w:id="1584219822">
      <w:bodyDiv w:val="1"/>
      <w:marLeft w:val="0"/>
      <w:marRight w:val="0"/>
      <w:marTop w:val="0"/>
      <w:marBottom w:val="0"/>
      <w:divBdr>
        <w:top w:val="none" w:sz="0" w:space="0" w:color="auto"/>
        <w:left w:val="none" w:sz="0" w:space="0" w:color="auto"/>
        <w:bottom w:val="none" w:sz="0" w:space="0" w:color="auto"/>
        <w:right w:val="none" w:sz="0" w:space="0" w:color="auto"/>
      </w:divBdr>
    </w:div>
    <w:div w:id="1735933784">
      <w:bodyDiv w:val="1"/>
      <w:marLeft w:val="0"/>
      <w:marRight w:val="0"/>
      <w:marTop w:val="0"/>
      <w:marBottom w:val="0"/>
      <w:divBdr>
        <w:top w:val="none" w:sz="0" w:space="0" w:color="auto"/>
        <w:left w:val="none" w:sz="0" w:space="0" w:color="auto"/>
        <w:bottom w:val="none" w:sz="0" w:space="0" w:color="auto"/>
        <w:right w:val="none" w:sz="0" w:space="0" w:color="auto"/>
      </w:divBdr>
    </w:div>
    <w:div w:id="1766027985">
      <w:bodyDiv w:val="1"/>
      <w:marLeft w:val="0"/>
      <w:marRight w:val="0"/>
      <w:marTop w:val="0"/>
      <w:marBottom w:val="0"/>
      <w:divBdr>
        <w:top w:val="none" w:sz="0" w:space="0" w:color="auto"/>
        <w:left w:val="none" w:sz="0" w:space="0" w:color="auto"/>
        <w:bottom w:val="none" w:sz="0" w:space="0" w:color="auto"/>
        <w:right w:val="none" w:sz="0" w:space="0" w:color="auto"/>
      </w:divBdr>
    </w:div>
    <w:div w:id="1781147889">
      <w:bodyDiv w:val="1"/>
      <w:marLeft w:val="0"/>
      <w:marRight w:val="0"/>
      <w:marTop w:val="0"/>
      <w:marBottom w:val="0"/>
      <w:divBdr>
        <w:top w:val="none" w:sz="0" w:space="0" w:color="auto"/>
        <w:left w:val="none" w:sz="0" w:space="0" w:color="auto"/>
        <w:bottom w:val="none" w:sz="0" w:space="0" w:color="auto"/>
        <w:right w:val="none" w:sz="0" w:space="0" w:color="auto"/>
      </w:divBdr>
    </w:div>
    <w:div w:id="1814373063">
      <w:bodyDiv w:val="1"/>
      <w:marLeft w:val="0"/>
      <w:marRight w:val="0"/>
      <w:marTop w:val="0"/>
      <w:marBottom w:val="0"/>
      <w:divBdr>
        <w:top w:val="none" w:sz="0" w:space="0" w:color="auto"/>
        <w:left w:val="none" w:sz="0" w:space="0" w:color="auto"/>
        <w:bottom w:val="none" w:sz="0" w:space="0" w:color="auto"/>
        <w:right w:val="none" w:sz="0" w:space="0" w:color="auto"/>
      </w:divBdr>
    </w:div>
    <w:div w:id="1846044297">
      <w:bodyDiv w:val="1"/>
      <w:marLeft w:val="0"/>
      <w:marRight w:val="0"/>
      <w:marTop w:val="0"/>
      <w:marBottom w:val="0"/>
      <w:divBdr>
        <w:top w:val="none" w:sz="0" w:space="0" w:color="auto"/>
        <w:left w:val="none" w:sz="0" w:space="0" w:color="auto"/>
        <w:bottom w:val="none" w:sz="0" w:space="0" w:color="auto"/>
        <w:right w:val="none" w:sz="0" w:space="0" w:color="auto"/>
      </w:divBdr>
    </w:div>
    <w:div w:id="1915158545">
      <w:bodyDiv w:val="1"/>
      <w:marLeft w:val="0"/>
      <w:marRight w:val="0"/>
      <w:marTop w:val="0"/>
      <w:marBottom w:val="0"/>
      <w:divBdr>
        <w:top w:val="none" w:sz="0" w:space="0" w:color="auto"/>
        <w:left w:val="none" w:sz="0" w:space="0" w:color="auto"/>
        <w:bottom w:val="none" w:sz="0" w:space="0" w:color="auto"/>
        <w:right w:val="none" w:sz="0" w:space="0" w:color="auto"/>
      </w:divBdr>
    </w:div>
    <w:div w:id="1962606802">
      <w:bodyDiv w:val="1"/>
      <w:marLeft w:val="0"/>
      <w:marRight w:val="0"/>
      <w:marTop w:val="0"/>
      <w:marBottom w:val="0"/>
      <w:divBdr>
        <w:top w:val="none" w:sz="0" w:space="0" w:color="auto"/>
        <w:left w:val="none" w:sz="0" w:space="0" w:color="auto"/>
        <w:bottom w:val="none" w:sz="0" w:space="0" w:color="auto"/>
        <w:right w:val="none" w:sz="0" w:space="0" w:color="auto"/>
      </w:divBdr>
    </w:div>
    <w:div w:id="2030255064">
      <w:bodyDiv w:val="1"/>
      <w:marLeft w:val="0"/>
      <w:marRight w:val="0"/>
      <w:marTop w:val="0"/>
      <w:marBottom w:val="0"/>
      <w:divBdr>
        <w:top w:val="none" w:sz="0" w:space="0" w:color="auto"/>
        <w:left w:val="none" w:sz="0" w:space="0" w:color="auto"/>
        <w:bottom w:val="none" w:sz="0" w:space="0" w:color="auto"/>
        <w:right w:val="none" w:sz="0" w:space="0" w:color="auto"/>
      </w:divBdr>
    </w:div>
    <w:div w:id="2098599911">
      <w:bodyDiv w:val="1"/>
      <w:marLeft w:val="0"/>
      <w:marRight w:val="0"/>
      <w:marTop w:val="0"/>
      <w:marBottom w:val="0"/>
      <w:divBdr>
        <w:top w:val="none" w:sz="0" w:space="0" w:color="auto"/>
        <w:left w:val="none" w:sz="0" w:space="0" w:color="auto"/>
        <w:bottom w:val="none" w:sz="0" w:space="0" w:color="auto"/>
        <w:right w:val="none" w:sz="0" w:space="0" w:color="auto"/>
      </w:divBdr>
    </w:div>
    <w:div w:id="21162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1598.htm" TargetMode="External"/><Relationship Id="rId13" Type="http://schemas.openxmlformats.org/officeDocument/2006/relationships/hyperlink" Target="http://www.planalto.gov.br/ccivil_03/_Ato2007-2010/2009/Lei/L11941.htm" TargetMode="External"/><Relationship Id="rId18" Type="http://schemas.openxmlformats.org/officeDocument/2006/relationships/hyperlink" Target="http://normas.receita.fazenda.gov.br/sijut2consulta/link.action?idAto=8126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07-2010/2007/Lei/L11638.htm" TargetMode="External"/><Relationship Id="rId17" Type="http://schemas.openxmlformats.org/officeDocument/2006/relationships/hyperlink" Target="http://www.cpc.org.br/CPC/Documentos-Emitidos/Pronunciamentos/Pronunciamento?Id=63" TargetMode="External"/><Relationship Id="rId2" Type="http://schemas.openxmlformats.org/officeDocument/2006/relationships/numbering" Target="numbering.xml"/><Relationship Id="rId16" Type="http://schemas.openxmlformats.org/officeDocument/2006/relationships/hyperlink" Target="http://dados.cvm.gov.br/dataset/cia_aberta-doc-i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6404consol.htm" TargetMode="External"/><Relationship Id="rId5" Type="http://schemas.openxmlformats.org/officeDocument/2006/relationships/webSettings" Target="webSettings.xml"/><Relationship Id="rId15" Type="http://schemas.openxmlformats.org/officeDocument/2006/relationships/hyperlink" Target="http://dados.cvm.gov.br/dataset/cia_aberta-cad" TargetMode="External"/><Relationship Id="rId10" Type="http://schemas.openxmlformats.org/officeDocument/2006/relationships/hyperlink" Target="https://www.planalto.gov.br/ccivil_03/_Ato2015-2018/2018/Decreto/D958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decreto/D3000.htm" TargetMode="External"/><Relationship Id="rId14" Type="http://schemas.openxmlformats.org/officeDocument/2006/relationships/hyperlink" Target="http://www.planalto.gov.br/ccivil_03/_ato2011-2014/2014/Lei/L1297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3E72-C219-4041-85A0-37E2C245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18</Pages>
  <Words>8862</Words>
  <Characters>47861</Characters>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56610</CharactersWithSpaces>
  <SharedDoc>false</SharedDoc>
  <HLinks>
    <vt:vector size="36" baseType="variant">
      <vt:variant>
        <vt:i4>1114121</vt:i4>
      </vt:variant>
      <vt:variant>
        <vt:i4>15</vt:i4>
      </vt:variant>
      <vt:variant>
        <vt:i4>0</vt:i4>
      </vt:variant>
      <vt:variant>
        <vt:i4>5</vt:i4>
      </vt:variant>
      <vt:variant>
        <vt:lpwstr>http://normas.receita.fazenda.gov.br/sijut2consulta/link.action?idAto=81268&amp;visao=anotado</vt:lpwstr>
      </vt:variant>
      <vt:variant>
        <vt:lpwstr/>
      </vt:variant>
      <vt:variant>
        <vt:i4>6422641</vt:i4>
      </vt:variant>
      <vt:variant>
        <vt:i4>12</vt:i4>
      </vt:variant>
      <vt:variant>
        <vt:i4>0</vt:i4>
      </vt:variant>
      <vt:variant>
        <vt:i4>5</vt:i4>
      </vt:variant>
      <vt:variant>
        <vt:lpwstr>http://www.planalto.gov.br/ccivil_03/_Ato2007-2010/2009/Lei/L11941.htm</vt:lpwstr>
      </vt:variant>
      <vt:variant>
        <vt:lpwstr/>
      </vt:variant>
      <vt:variant>
        <vt:i4>6553720</vt:i4>
      </vt:variant>
      <vt:variant>
        <vt:i4>9</vt:i4>
      </vt:variant>
      <vt:variant>
        <vt:i4>0</vt:i4>
      </vt:variant>
      <vt:variant>
        <vt:i4>5</vt:i4>
      </vt:variant>
      <vt:variant>
        <vt:lpwstr>http://www.planalto.gov.br/ccivil_03/_Ato2007-2010/2007/Lei/L11638.htm</vt:lpwstr>
      </vt:variant>
      <vt:variant>
        <vt:lpwstr/>
      </vt:variant>
      <vt:variant>
        <vt:i4>3473496</vt:i4>
      </vt:variant>
      <vt:variant>
        <vt:i4>6</vt:i4>
      </vt:variant>
      <vt:variant>
        <vt:i4>0</vt:i4>
      </vt:variant>
      <vt:variant>
        <vt:i4>5</vt:i4>
      </vt:variant>
      <vt:variant>
        <vt:lpwstr>http://www.planalto.gov.br/ccivil_03/decreto-lei/Del1598.htm</vt:lpwstr>
      </vt:variant>
      <vt:variant>
        <vt:lpwstr/>
      </vt:variant>
      <vt:variant>
        <vt:i4>8126530</vt:i4>
      </vt:variant>
      <vt:variant>
        <vt:i4>3</vt:i4>
      </vt:variant>
      <vt:variant>
        <vt:i4>0</vt:i4>
      </vt:variant>
      <vt:variant>
        <vt:i4>5</vt:i4>
      </vt:variant>
      <vt:variant>
        <vt:lpwstr>https://www.planalto.gov.br/ccivil_03/Leis/L6404consol.htm</vt:lpwstr>
      </vt:variant>
      <vt:variant>
        <vt:lpwstr/>
      </vt:variant>
      <vt:variant>
        <vt:i4>7077947</vt:i4>
      </vt:variant>
      <vt:variant>
        <vt:i4>0</vt:i4>
      </vt:variant>
      <vt:variant>
        <vt:i4>0</vt:i4>
      </vt:variant>
      <vt:variant>
        <vt:i4>5</vt:i4>
      </vt:variant>
      <vt:variant>
        <vt:lpwstr>http://bvmf.bmfbovespa.com.br/cias-listadas/empresas-listadas/ResumoDemonstrativosFinanceiros.aspx?codigoCvm=8133&amp;idioma=pt-br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1900-01-01T02:00:00Z</cp:lastPrinted>
  <dcterms:created xsi:type="dcterms:W3CDTF">2020-12-02T23:05:00Z</dcterms:created>
  <dcterms:modified xsi:type="dcterms:W3CDTF">2020-12-21T10:03:00Z</dcterms:modified>
</cp:coreProperties>
</file>